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4"/>
        <w:jc w:val="left"/>
        <w:rPr>
          <w:rFonts w:ascii="宋体" w:hAnsi="宋体" w:cs="宋体"/>
          <w:b/>
          <w:sz w:val="48"/>
          <w:szCs w:val="48"/>
        </w:rPr>
      </w:pPr>
      <w:r>
        <w:rPr>
          <w:rFonts w:hint="eastAsia" w:ascii="宋体" w:hAnsi="宋体" w:cs="宋体"/>
          <w:b/>
          <w:sz w:val="48"/>
          <w:szCs w:val="48"/>
        </w:rPr>
        <w:tab/>
      </w: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  <w:r>
        <w:rPr>
          <w:rFonts w:hint="eastAsia" w:ascii="宋体" w:hAnsi="宋体" w:cs="宋体"/>
          <w:b/>
          <w:sz w:val="48"/>
          <w:szCs w:val="48"/>
        </w:rPr>
        <w:t>中燃集团非招标采购交易平台</w:t>
      </w: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</w:p>
    <w:p>
      <w:pPr>
        <w:ind w:firstLine="964"/>
        <w:jc w:val="center"/>
        <w:rPr>
          <w:rFonts w:ascii="宋体" w:hAnsi="宋体" w:cs="宋体"/>
          <w:b/>
          <w:sz w:val="48"/>
          <w:szCs w:val="48"/>
        </w:rPr>
      </w:pPr>
      <w:r>
        <w:rPr>
          <w:rFonts w:hint="eastAsia" w:ascii="宋体" w:hAnsi="宋体" w:cs="宋体"/>
          <w:b/>
          <w:sz w:val="48"/>
          <w:szCs w:val="48"/>
        </w:rPr>
        <w:t>网上竞卖操作指引</w:t>
      </w:r>
    </w:p>
    <w:p>
      <w:pPr>
        <w:ind w:firstLine="643"/>
        <w:contextualSpacing/>
        <w:jc w:val="center"/>
        <w:rPr>
          <w:rFonts w:ascii="宋体" w:hAnsi="宋体" w:cs="宋体"/>
          <w:b/>
          <w:sz w:val="32"/>
          <w:szCs w:val="32"/>
        </w:rPr>
      </w:pPr>
    </w:p>
    <w:p>
      <w:pPr>
        <w:ind w:firstLine="643"/>
        <w:contextualSpacing/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（竞买人）</w:t>
      </w: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482"/>
        <w:jc w:val="center"/>
        <w:rPr>
          <w:rFonts w:ascii="宋体" w:hAnsi="宋体" w:cs="宋体"/>
          <w:b/>
          <w:bCs/>
          <w:kern w:val="44"/>
          <w:szCs w:val="24"/>
        </w:rPr>
      </w:pPr>
    </w:p>
    <w:p>
      <w:pPr>
        <w:ind w:firstLine="562"/>
        <w:jc w:val="center"/>
        <w:rPr>
          <w:rFonts w:ascii="宋体" w:hAnsi="宋体" w:cs="宋体"/>
          <w:b/>
          <w:bCs/>
          <w:kern w:val="44"/>
          <w:sz w:val="28"/>
          <w:szCs w:val="28"/>
        </w:rPr>
      </w:pPr>
      <w:r>
        <w:rPr>
          <w:rFonts w:hint="eastAsia" w:ascii="宋体" w:hAnsi="宋体" w:cs="宋体"/>
          <w:b/>
          <w:bCs/>
          <w:kern w:val="44"/>
          <w:sz w:val="28"/>
          <w:szCs w:val="28"/>
        </w:rPr>
        <w:t>2</w:t>
      </w:r>
      <w:r>
        <w:rPr>
          <w:rFonts w:ascii="宋体" w:hAnsi="宋体" w:cs="宋体"/>
          <w:b/>
          <w:bCs/>
          <w:kern w:val="44"/>
          <w:sz w:val="28"/>
          <w:szCs w:val="28"/>
        </w:rPr>
        <w:t>019</w:t>
      </w:r>
      <w:r>
        <w:rPr>
          <w:rFonts w:hint="eastAsia" w:ascii="宋体" w:hAnsi="宋体" w:cs="宋体"/>
          <w:b/>
          <w:bCs/>
          <w:kern w:val="44"/>
          <w:sz w:val="28"/>
          <w:szCs w:val="28"/>
        </w:rPr>
        <w:t>年6月</w:t>
      </w:r>
    </w:p>
    <w:p>
      <w:pPr>
        <w:ind w:firstLine="0" w:firstLineChars="0"/>
        <w:rPr>
          <w:rFonts w:ascii="宋体" w:hAnsi="宋体" w:cs="宋体"/>
          <w:bCs/>
          <w:kern w:val="44"/>
          <w:szCs w:val="2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851" w:right="851" w:bottom="851" w:left="851" w:header="851" w:footer="567" w:gutter="0"/>
          <w:pgNumType w:start="1"/>
          <w:cols w:space="425" w:num="1"/>
          <w:docGrid w:type="lines" w:linePitch="312" w:charSpace="0"/>
        </w:sectPr>
      </w:pPr>
    </w:p>
    <w:p>
      <w:pPr>
        <w:pStyle w:val="11"/>
        <w:tabs>
          <w:tab w:val="right" w:leader="dot" w:pos="10204"/>
        </w:tabs>
        <w:ind w:firstLine="402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目录</w:t>
      </w:r>
    </w:p>
    <w:p>
      <w:pPr>
        <w:pStyle w:val="11"/>
        <w:tabs>
          <w:tab w:val="right" w:leader="dot" w:pos="10194"/>
        </w:tabs>
        <w:ind w:firstLine="402"/>
        <w:rPr>
          <w:rFonts w:eastAsiaTheme="minorEastAsia" w:cstheme="minorBidi"/>
          <w:b w:val="0"/>
          <w:bCs w:val="0"/>
          <w:caps w:val="0"/>
          <w:sz w:val="21"/>
          <w:szCs w:val="22"/>
        </w:rPr>
      </w:pP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TOC \o "1-3" \h \u </w:instrText>
      </w:r>
      <w:r>
        <w:rPr>
          <w:rFonts w:hint="eastAsia" w:ascii="宋体" w:hAnsi="宋体" w:cs="宋体"/>
        </w:rPr>
        <w:fldChar w:fldCharType="separate"/>
      </w:r>
      <w:r>
        <w:fldChar w:fldCharType="begin"/>
      </w:r>
      <w:r>
        <w:instrText xml:space="preserve"> HYPERLINK \l "_Toc11271773" </w:instrText>
      </w:r>
      <w:r>
        <w:fldChar w:fldCharType="separate"/>
      </w:r>
      <w:r>
        <w:rPr>
          <w:rStyle w:val="17"/>
        </w:rPr>
        <w:t>竞买人网上竞</w:t>
      </w:r>
      <w:r>
        <w:rPr>
          <w:rStyle w:val="17"/>
          <w:rFonts w:hint="eastAsia"/>
        </w:rPr>
        <w:t>卖</w:t>
      </w:r>
      <w:r>
        <w:rPr>
          <w:rStyle w:val="17"/>
        </w:rPr>
        <w:t>操作指引</w:t>
      </w:r>
      <w:r>
        <w:tab/>
      </w:r>
      <w:r>
        <w:fldChar w:fldCharType="begin"/>
      </w:r>
      <w:r>
        <w:instrText xml:space="preserve"> PAGEREF _Toc11271773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10194"/>
        </w:tabs>
        <w:ind w:firstLine="402"/>
        <w:rPr>
          <w:rFonts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"_Toc11271774" </w:instrText>
      </w:r>
      <w:r>
        <w:fldChar w:fldCharType="separate"/>
      </w:r>
      <w:r>
        <w:rPr>
          <w:rStyle w:val="17"/>
        </w:rPr>
        <w:t>第一章 用户登录</w:t>
      </w:r>
      <w:r>
        <w:tab/>
      </w:r>
      <w:r>
        <w:fldChar w:fldCharType="begin"/>
      </w:r>
      <w:r>
        <w:instrText xml:space="preserve"> PAGEREF _Toc11271774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10194"/>
        </w:tabs>
        <w:ind w:firstLine="402"/>
        <w:rPr>
          <w:rFonts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"_Toc11271775" </w:instrText>
      </w:r>
      <w:r>
        <w:fldChar w:fldCharType="separate"/>
      </w:r>
      <w:r>
        <w:rPr>
          <w:rStyle w:val="17"/>
        </w:rPr>
        <w:t>第二章 竞卖业务（竞高价）流程图</w:t>
      </w:r>
      <w:r>
        <w:tab/>
      </w:r>
      <w:r>
        <w:fldChar w:fldCharType="begin"/>
      </w:r>
      <w:r>
        <w:instrText xml:space="preserve"> PAGEREF _Toc11271775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10194"/>
        </w:tabs>
        <w:ind w:firstLine="402"/>
        <w:rPr>
          <w:rFonts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"_Toc11271776" </w:instrText>
      </w:r>
      <w:r>
        <w:fldChar w:fldCharType="separate"/>
      </w:r>
      <w:r>
        <w:rPr>
          <w:rStyle w:val="17"/>
        </w:rPr>
        <w:t>第三章 竞卖业务（竞高价）操作步骤</w:t>
      </w:r>
      <w:r>
        <w:tab/>
      </w:r>
      <w:r>
        <w:fldChar w:fldCharType="begin"/>
      </w:r>
      <w:r>
        <w:instrText xml:space="preserve"> PAGEREF _Toc11271776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"_Toc11271777" </w:instrText>
      </w:r>
      <w:r>
        <w:fldChar w:fldCharType="separate"/>
      </w:r>
      <w:r>
        <w:rPr>
          <w:rStyle w:val="17"/>
        </w:rPr>
        <w:t>3.1 竞卖公告</w:t>
      </w:r>
      <w:r>
        <w:tab/>
      </w:r>
      <w:r>
        <w:fldChar w:fldCharType="begin"/>
      </w:r>
      <w:r>
        <w:instrText xml:space="preserve"> PAGEREF _Toc11271777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"_Toc11271778" </w:instrText>
      </w:r>
      <w:r>
        <w:fldChar w:fldCharType="separate"/>
      </w:r>
      <w:r>
        <w:rPr>
          <w:rStyle w:val="17"/>
        </w:rPr>
        <w:t>3.2 竞卖公告补遗</w:t>
      </w:r>
      <w:r>
        <w:tab/>
      </w:r>
      <w:r>
        <w:fldChar w:fldCharType="begin"/>
      </w:r>
      <w:r>
        <w:instrText xml:space="preserve"> PAGEREF _Toc11271778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"_Toc11271779" </w:instrText>
      </w:r>
      <w:r>
        <w:fldChar w:fldCharType="separate"/>
      </w:r>
      <w:r>
        <w:rPr>
          <w:rStyle w:val="17"/>
        </w:rPr>
        <w:t>3.3 竞买文件递交</w:t>
      </w:r>
      <w:r>
        <w:tab/>
      </w:r>
      <w:r>
        <w:fldChar w:fldCharType="begin"/>
      </w:r>
      <w:r>
        <w:instrText xml:space="preserve"> PAGEREF _Toc11271779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"_Toc11271780" </w:instrText>
      </w:r>
      <w:r>
        <w:fldChar w:fldCharType="separate"/>
      </w:r>
      <w:r>
        <w:rPr>
          <w:rStyle w:val="17"/>
        </w:rPr>
        <w:t>3.4 提交保证金</w:t>
      </w:r>
      <w:r>
        <w:tab/>
      </w:r>
      <w:r>
        <w:fldChar w:fldCharType="begin"/>
      </w:r>
      <w:r>
        <w:instrText xml:space="preserve"> PAGEREF _Toc11271780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"_Toc11271781" </w:instrText>
      </w:r>
      <w:r>
        <w:fldChar w:fldCharType="separate"/>
      </w:r>
      <w:r>
        <w:rPr>
          <w:rStyle w:val="17"/>
        </w:rPr>
        <w:t>3.5 参与竞卖竞价</w:t>
      </w:r>
      <w:r>
        <w:tab/>
      </w:r>
      <w:r>
        <w:fldChar w:fldCharType="begin"/>
      </w:r>
      <w:r>
        <w:instrText xml:space="preserve"> PAGEREF _Toc11271781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"_Toc11271782" </w:instrText>
      </w:r>
      <w:r>
        <w:fldChar w:fldCharType="separate"/>
      </w:r>
      <w:r>
        <w:rPr>
          <w:rStyle w:val="17"/>
        </w:rPr>
        <w:t>3.5.1 自由竞价</w:t>
      </w:r>
      <w:r>
        <w:tab/>
      </w:r>
      <w:r>
        <w:fldChar w:fldCharType="begin"/>
      </w:r>
      <w:r>
        <w:instrText xml:space="preserve"> PAGEREF _Toc11271782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"_Toc11271783" </w:instrText>
      </w:r>
      <w:r>
        <w:fldChar w:fldCharType="separate"/>
      </w:r>
      <w:r>
        <w:rPr>
          <w:rStyle w:val="17"/>
        </w:rPr>
        <w:t>3.5.2 限时竞价</w:t>
      </w:r>
      <w:r>
        <w:tab/>
      </w:r>
      <w:r>
        <w:fldChar w:fldCharType="begin"/>
      </w:r>
      <w:r>
        <w:instrText xml:space="preserve"> PAGEREF _Toc11271783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"_Toc11271784" </w:instrText>
      </w:r>
      <w:r>
        <w:fldChar w:fldCharType="separate"/>
      </w:r>
      <w:r>
        <w:rPr>
          <w:rStyle w:val="17"/>
        </w:rPr>
        <w:t>3.5.3 多轮竞价</w:t>
      </w:r>
      <w:r>
        <w:tab/>
      </w:r>
      <w:r>
        <w:fldChar w:fldCharType="begin"/>
      </w:r>
      <w:r>
        <w:instrText xml:space="preserve"> PAGEREF _Toc11271784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"_Toc11271785" </w:instrText>
      </w:r>
      <w:r>
        <w:fldChar w:fldCharType="separate"/>
      </w:r>
      <w:r>
        <w:rPr>
          <w:rStyle w:val="17"/>
        </w:rPr>
        <w:t>3.6 查看竞卖结果</w:t>
      </w:r>
      <w:r>
        <w:tab/>
      </w:r>
      <w:r>
        <w:fldChar w:fldCharType="begin"/>
      </w:r>
      <w:r>
        <w:instrText xml:space="preserve"> PAGEREF _Toc11271785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"_Toc11271786" </w:instrText>
      </w:r>
      <w:r>
        <w:fldChar w:fldCharType="separate"/>
      </w:r>
      <w:r>
        <w:rPr>
          <w:rStyle w:val="17"/>
        </w:rPr>
        <w:t>3.7 查看竞卖结果通知</w:t>
      </w:r>
      <w:r>
        <w:tab/>
      </w:r>
      <w:r>
        <w:fldChar w:fldCharType="begin"/>
      </w:r>
      <w:r>
        <w:instrText xml:space="preserve"> PAGEREF _Toc11271786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"_Toc11271787" </w:instrText>
      </w:r>
      <w:r>
        <w:fldChar w:fldCharType="separate"/>
      </w:r>
      <w:r>
        <w:rPr>
          <w:rStyle w:val="17"/>
        </w:rPr>
        <w:t>3.8 服务费缴纳</w:t>
      </w:r>
      <w:r>
        <w:tab/>
      </w:r>
      <w:r>
        <w:fldChar w:fldCharType="begin"/>
      </w:r>
      <w:r>
        <w:instrText xml:space="preserve"> PAGEREF _Toc11271787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"_Toc11271788" </w:instrText>
      </w:r>
      <w:r>
        <w:fldChar w:fldCharType="separate"/>
      </w:r>
      <w:r>
        <w:rPr>
          <w:rStyle w:val="17"/>
        </w:rPr>
        <w:t>3.8.1 缴纳服务费</w:t>
      </w:r>
      <w:r>
        <w:tab/>
      </w:r>
      <w:r>
        <w:fldChar w:fldCharType="begin"/>
      </w:r>
      <w:r>
        <w:instrText xml:space="preserve"> PAGEREF _Toc11271788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"_Toc11271789" </w:instrText>
      </w:r>
      <w:r>
        <w:fldChar w:fldCharType="separate"/>
      </w:r>
      <w:r>
        <w:rPr>
          <w:rStyle w:val="17"/>
        </w:rPr>
        <w:t>3.8.2 电子发票下载</w:t>
      </w:r>
      <w:r>
        <w:tab/>
      </w:r>
      <w:r>
        <w:fldChar w:fldCharType="begin"/>
      </w:r>
      <w:r>
        <w:instrText xml:space="preserve"> PAGEREF _Toc11271789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194"/>
        </w:tabs>
        <w:ind w:left="48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"_Toc11271790" </w:instrText>
      </w:r>
      <w:r>
        <w:fldChar w:fldCharType="separate"/>
      </w:r>
      <w:r>
        <w:rPr>
          <w:rStyle w:val="17"/>
        </w:rPr>
        <w:t>3.9 项目异常</w:t>
      </w:r>
      <w:r>
        <w:tab/>
      </w:r>
      <w:r>
        <w:fldChar w:fldCharType="begin"/>
      </w:r>
      <w:r>
        <w:instrText xml:space="preserve"> PAGEREF _Toc11271790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"_Toc11271791" </w:instrText>
      </w:r>
      <w:r>
        <w:fldChar w:fldCharType="separate"/>
      </w:r>
      <w:r>
        <w:rPr>
          <w:rStyle w:val="17"/>
        </w:rPr>
        <w:t>3.9.1 竞卖项目异常</w:t>
      </w:r>
      <w:r>
        <w:tab/>
      </w:r>
      <w:r>
        <w:fldChar w:fldCharType="begin"/>
      </w:r>
      <w:r>
        <w:instrText xml:space="preserve"> PAGEREF _Toc11271791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10194"/>
        </w:tabs>
        <w:ind w:left="960" w:firstLine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"_Toc11271792" </w:instrText>
      </w:r>
      <w:r>
        <w:fldChar w:fldCharType="separate"/>
      </w:r>
      <w:r>
        <w:rPr>
          <w:rStyle w:val="17"/>
        </w:rPr>
        <w:t>3.9.2 流标公告（响应供应商不足）</w:t>
      </w:r>
      <w:r>
        <w:tab/>
      </w:r>
      <w:r>
        <w:fldChar w:fldCharType="begin"/>
      </w:r>
      <w:r>
        <w:instrText xml:space="preserve"> PAGEREF _Toc11271792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10194"/>
        </w:tabs>
        <w:ind w:firstLine="402"/>
        <w:rPr>
          <w:rFonts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"_Toc11271793" </w:instrText>
      </w:r>
      <w:r>
        <w:fldChar w:fldCharType="separate"/>
      </w:r>
      <w:r>
        <w:rPr>
          <w:rStyle w:val="17"/>
        </w:rPr>
        <w:t>第四章 联系我们</w:t>
      </w:r>
      <w:r>
        <w:tab/>
      </w:r>
      <w:r>
        <w:fldChar w:fldCharType="begin"/>
      </w:r>
      <w:r>
        <w:instrText xml:space="preserve"> PAGEREF _Toc11271793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fldChar w:fldCharType="end"/>
      </w:r>
    </w:p>
    <w:p>
      <w:pPr>
        <w:pStyle w:val="2"/>
        <w:rPr>
          <w:rFonts w:ascii="宋体" w:hAnsi="宋体" w:cs="宋体"/>
        </w:rPr>
        <w:sectPr>
          <w:footerReference r:id="rId11" w:type="default"/>
          <w:footerReference r:id="rId12" w:type="even"/>
          <w:pgSz w:w="11906" w:h="16838"/>
          <w:pgMar w:top="851" w:right="851" w:bottom="851" w:left="851" w:header="851" w:footer="680" w:gutter="0"/>
          <w:pgNumType w:start="1"/>
          <w:cols w:space="425" w:num="1"/>
          <w:docGrid w:type="lines" w:linePitch="312" w:charSpace="0"/>
        </w:sectPr>
      </w:pPr>
      <w:bookmarkStart w:id="0" w:name="_Toc427496340"/>
      <w:bookmarkStart w:id="1" w:name="_Toc464644765"/>
      <w:bookmarkStart w:id="2" w:name="_Toc471168588"/>
      <w:bookmarkStart w:id="3" w:name="_Toc27016"/>
      <w:bookmarkStart w:id="4" w:name="_Toc3046"/>
      <w:bookmarkStart w:id="5" w:name="_Toc14347"/>
      <w:bookmarkStart w:id="6" w:name="_Toc15892"/>
      <w:bookmarkStart w:id="7" w:name="_Toc31791"/>
    </w:p>
    <w:bookmarkEnd w:id="0"/>
    <w:bookmarkEnd w:id="1"/>
    <w:bookmarkEnd w:id="2"/>
    <w:p>
      <w:pPr>
        <w:pStyle w:val="13"/>
      </w:pPr>
      <w:bookmarkStart w:id="8" w:name="_Toc11271773"/>
      <w:bookmarkStart w:id="9" w:name="_Toc471168592"/>
      <w:r>
        <w:rPr>
          <w:rFonts w:hint="eastAsia"/>
        </w:rPr>
        <w:t>竞买人网上竞标操作指引</w:t>
      </w:r>
      <w:bookmarkEnd w:id="8"/>
    </w:p>
    <w:p>
      <w:pPr>
        <w:pStyle w:val="2"/>
        <w:spacing w:before="328" w:after="164"/>
      </w:pPr>
      <w:bookmarkStart w:id="10" w:name="_Toc11271774"/>
      <w:r>
        <w:rPr>
          <w:rFonts w:hint="eastAsia"/>
        </w:rPr>
        <w:t>用户</w:t>
      </w:r>
      <w:bookmarkEnd w:id="3"/>
      <w:bookmarkEnd w:id="4"/>
      <w:bookmarkEnd w:id="5"/>
      <w:bookmarkEnd w:id="6"/>
      <w:bookmarkEnd w:id="7"/>
      <w:r>
        <w:rPr>
          <w:rFonts w:hint="eastAsia"/>
        </w:rPr>
        <w:t>登录</w:t>
      </w:r>
      <w:bookmarkEnd w:id="9"/>
      <w:bookmarkEnd w:id="10"/>
    </w:p>
    <w:p>
      <w:pPr>
        <w:pStyle w:val="30"/>
      </w:pPr>
      <w:r>
        <w:rPr>
          <w:rFonts w:hint="eastAsia"/>
        </w:rPr>
        <w:t>访问中燃集团电子招标采购交易网（</w:t>
      </w:r>
      <w:r>
        <w:t>zrzbcg.chinagasholdings.com</w:t>
      </w:r>
      <w:r>
        <w:rPr>
          <w:rFonts w:hint="eastAsia"/>
        </w:rPr>
        <w:t>），从平台入口处选择【供应商登录】进入登录界面。。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6402070" cy="402717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选择【供应商登录】登录入口后，选择【供应商</w:t>
      </w:r>
      <w:r>
        <w:rPr>
          <w:rFonts w:hint="eastAsia"/>
          <w:lang w:val="en-US" w:eastAsia="zh-CN"/>
        </w:rPr>
        <w:t>专区</w:t>
      </w:r>
      <w:r>
        <w:rPr>
          <w:rFonts w:hint="eastAsia"/>
        </w:rPr>
        <w:t>】插入机构数字证书通过口令验证进行登录。</w:t>
      </w:r>
    </w:p>
    <w:p>
      <w:pPr>
        <w:snapToGrid w:val="0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6401435" cy="2997200"/>
            <wp:effectExtent l="0" t="0" r="1460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3" w:name="_GoBack"/>
      <w:bookmarkEnd w:id="53"/>
    </w:p>
    <w:p>
      <w:pPr>
        <w:pStyle w:val="2"/>
        <w:spacing w:before="328" w:after="164"/>
      </w:pPr>
      <w:bookmarkStart w:id="11" w:name="_Toc11271775"/>
      <w:r>
        <w:rPr>
          <w:rFonts w:hint="eastAsia"/>
        </w:rPr>
        <w:t>竞卖业务（竞高价）流程图</w:t>
      </w:r>
      <w:bookmarkEnd w:id="11"/>
    </w:p>
    <w:p>
      <w:pPr>
        <w:ind w:firstLine="480"/>
        <w:jc w:val="center"/>
        <w:rPr>
          <w:rFonts w:ascii="宋体" w:hAnsi="宋体" w:cs="宋体"/>
        </w:rPr>
      </w:pPr>
      <w:bookmarkStart w:id="12" w:name="_Toc699"/>
      <w:bookmarkStart w:id="13" w:name="_Toc1357"/>
      <w:bookmarkStart w:id="14" w:name="_Toc10386"/>
      <w:bookmarkStart w:id="15" w:name="_Toc471168595"/>
      <w:bookmarkStart w:id="16" w:name="_Toc29437"/>
      <w:bookmarkStart w:id="17" w:name="_Toc17757"/>
      <w:r>
        <w:rPr>
          <w:rFonts w:hint="eastAsia" w:ascii="宋体" w:hAnsi="宋体" w:cs="宋体"/>
          <w:bdr w:val="single" w:color="auto" w:sz="4" w:space="0"/>
        </w:rPr>
        <w:drawing>
          <wp:inline distT="0" distB="0" distL="0" distR="0">
            <wp:extent cx="4819650" cy="8267700"/>
            <wp:effectExtent l="0" t="0" r="11430" b="7620"/>
            <wp:docPr id="4" name="图片 4" descr="竞买人操作（图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竞买人操作（图例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28" w:after="164"/>
      </w:pPr>
      <w:bookmarkStart w:id="18" w:name="_Toc11271776"/>
      <w:r>
        <w:rPr>
          <w:rFonts w:hint="eastAsia"/>
        </w:rPr>
        <w:t>竞卖业务（竞高价）操作</w:t>
      </w:r>
      <w:bookmarkEnd w:id="12"/>
      <w:bookmarkEnd w:id="13"/>
      <w:bookmarkEnd w:id="14"/>
      <w:bookmarkEnd w:id="15"/>
      <w:bookmarkEnd w:id="16"/>
      <w:bookmarkEnd w:id="17"/>
      <w:r>
        <w:rPr>
          <w:rFonts w:hint="eastAsia"/>
        </w:rPr>
        <w:t>步骤</w:t>
      </w:r>
      <w:bookmarkEnd w:id="18"/>
    </w:p>
    <w:p>
      <w:pPr>
        <w:ind w:firstLine="480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</w:rPr>
        <w:t>在【供应商专区】</w:t>
      </w:r>
      <w:r>
        <w:rPr>
          <w:rFonts w:hint="eastAsia" w:ascii="宋体" w:hAnsi="宋体" w:cs="宋体"/>
          <w:szCs w:val="24"/>
        </w:rPr>
        <w:t>-&gt;【竞价采购管理】-&gt;【网上竞卖（竞高价）】</w:t>
      </w:r>
      <w:r>
        <w:rPr>
          <w:rFonts w:hint="eastAsia" w:ascii="宋体" w:hAnsi="宋体" w:cs="宋体"/>
        </w:rPr>
        <w:t>模块中，竞买人可进行竞卖公告的查看、质疑、提交竞买文件、参与竞价、查看竞卖结果、查看竞卖结果通知的缴纳等操作。</w:t>
      </w:r>
    </w:p>
    <w:p>
      <w:pPr>
        <w:widowControl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69895"/>
            <wp:effectExtent l="9525" t="9525" r="13335" b="228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69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Cs w:val="24"/>
          <w:lang w:bidi="ar"/>
        </w:rPr>
        <w:fldChar w:fldCharType="begin"/>
      </w:r>
      <w:r>
        <w:rPr>
          <w:rFonts w:hint="eastAsia" w:ascii="宋体" w:hAnsi="宋体" w:cs="宋体"/>
          <w:kern w:val="0"/>
          <w:szCs w:val="24"/>
          <w:lang w:bidi="ar"/>
        </w:rPr>
        <w:instrText xml:space="preserve">INCLUDEPICTURE \d "C:\\Users\\飞\\Documents\\Tencent Files\\614093188\\Image\\C2C\\RVI~JSI@JZSY6T0W1HJEIV3.png" \* MERGEFORMATINET </w:instrText>
      </w:r>
      <w:r>
        <w:rPr>
          <w:rFonts w:hint="eastAsia" w:ascii="宋体" w:hAnsi="宋体" w:cs="宋体"/>
          <w:kern w:val="0"/>
          <w:szCs w:val="24"/>
          <w:lang w:bidi="ar"/>
        </w:rPr>
        <w:fldChar w:fldCharType="end"/>
      </w:r>
    </w:p>
    <w:p>
      <w:pPr>
        <w:pStyle w:val="3"/>
        <w:spacing w:before="328" w:after="164"/>
      </w:pPr>
      <w:bookmarkStart w:id="19" w:name="_Toc11271777"/>
      <w:bookmarkStart w:id="20" w:name="_Toc471168596"/>
      <w:r>
        <w:rPr>
          <w:rFonts w:hint="eastAsia"/>
        </w:rPr>
        <w:t>竞卖公告</w:t>
      </w:r>
      <w:bookmarkEnd w:id="19"/>
      <w:bookmarkEnd w:id="20"/>
    </w:p>
    <w:p>
      <w:pPr>
        <w:pStyle w:val="30"/>
      </w:pPr>
      <w:r>
        <w:rPr>
          <w:rFonts w:hint="eastAsia"/>
        </w:rPr>
        <w:t>点击左侧菜单栏【竞卖公告】进入“竞卖公告”列表页，选择要参与竞价的项目，点击【查看】即可查看竞卖公告具体内容。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888615"/>
            <wp:effectExtent l="9525" t="9525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386830" cy="3430270"/>
            <wp:effectExtent l="9525" t="9525" r="19685" b="19685"/>
            <wp:docPr id="3" name="图片 3" descr="C:\Users\Administrator\Desktop\竞卖\竞买人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竞卖\竞买人\2.png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43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若竞卖项目为邀请项目，供应商需在“查看竞卖公告”页面最下方的“确认邀请函”，确认接受/拒绝采购人的邀请。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350000" cy="1864995"/>
            <wp:effectExtent l="9525" t="9525" r="10795" b="15240"/>
            <wp:docPr id="7" name="图片 7" descr="C:\Users\Administrator\Desktop\竞卖\竞买人\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竞卖\竞买人\3.png3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864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330950" cy="1197610"/>
            <wp:effectExtent l="9525" t="9525" r="14605" b="12065"/>
            <wp:docPr id="8" name="图片 8" descr="C:\Users\Administrator\Desktop\确认邀请函.png确认邀请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确认邀请函.png确认邀请函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119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b/>
          <w:bCs/>
          <w:color w:val="FF0000"/>
          <w:sz w:val="21"/>
          <w:szCs w:val="21"/>
        </w:rPr>
        <w:t>注：</w:t>
      </w:r>
      <w:r>
        <w:rPr>
          <w:rFonts w:hint="eastAsia" w:ascii="宋体" w:hAnsi="宋体" w:cs="宋体"/>
          <w:color w:val="FF0000"/>
          <w:sz w:val="21"/>
          <w:szCs w:val="21"/>
        </w:rPr>
        <w:t>若接受邀请，可参与该项目的竞价，需继续操作后续流程；若拒绝邀请，不参与该项目的竞价，则无需操作后续流程。</w:t>
      </w:r>
    </w:p>
    <w:p>
      <w:pPr>
        <w:pStyle w:val="3"/>
        <w:spacing w:before="328" w:after="164"/>
      </w:pPr>
      <w:bookmarkStart w:id="21" w:name="_Toc11271778"/>
      <w:r>
        <w:rPr>
          <w:rFonts w:hint="eastAsia"/>
        </w:rPr>
        <w:t>竞卖公告补遗</w:t>
      </w:r>
      <w:bookmarkEnd w:id="21"/>
    </w:p>
    <w:p>
      <w:pPr>
        <w:pStyle w:val="30"/>
      </w:pPr>
      <w:r>
        <w:rPr>
          <w:rFonts w:hint="eastAsia"/>
        </w:rPr>
        <w:t>点击左侧菜单栏【竞卖公告补遗】进入“查看竞卖补遗”列表页，选择已发布补遗的项目，点击【查看】进入“竞价采购补遗”页面。</w:t>
      </w:r>
    </w:p>
    <w:p>
      <w:pPr>
        <w:ind w:firstLine="0" w:firstLineChars="0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87675"/>
            <wp:effectExtent l="9525" t="9525" r="13335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8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在“竞卖补遗”页面中，点击补遗标题列表中【查看】，即可查看补遗附件及具体补遗内容。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350000" cy="1381125"/>
            <wp:effectExtent l="9525" t="9525" r="10795" b="11430"/>
            <wp:docPr id="22" name="图片 22" descr="C:\Users\Administrator\Desktop\竞卖\竞买人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竞卖\竞买人\5.png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38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28" w:after="164"/>
      </w:pPr>
      <w:bookmarkStart w:id="22" w:name="_Toc11271779"/>
      <w:bookmarkStart w:id="23" w:name="_Toc3603"/>
      <w:bookmarkStart w:id="24" w:name="_Toc471168599"/>
      <w:r>
        <w:rPr>
          <w:rFonts w:hint="eastAsia"/>
        </w:rPr>
        <w:t>竞买文件递交</w:t>
      </w:r>
      <w:bookmarkEnd w:id="22"/>
      <w:bookmarkEnd w:id="23"/>
    </w:p>
    <w:p>
      <w:pPr>
        <w:pStyle w:val="30"/>
      </w:pPr>
      <w:r>
        <w:rPr>
          <w:rFonts w:hint="eastAsia"/>
        </w:rPr>
        <w:t>若竞买人要参与的竞价项目中，竞卖人要求递交竞买文件，点击左侧菜单栏【竞价文件递交】进入“竞价文件递交”列表页，选择对应项目，点击【递交】进入“竞买文件递交”详细页面。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41320"/>
            <wp:effectExtent l="9525" t="9525" r="13335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41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在“竞买文件递交”详细页面中，竞买文件上传后，点击【保存并提交审核】，竞卖人审核确认后，即完成竞买文件递交操作。</w:t>
      </w:r>
    </w:p>
    <w:p>
      <w:pPr>
        <w:ind w:firstLine="0" w:firstLineChars="0"/>
        <w:jc w:val="center"/>
        <w:rPr>
          <w:rFonts w:ascii="宋体" w:hAnsi="宋体" w:cs="宋体"/>
          <w:szCs w:val="24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24930" cy="1221105"/>
            <wp:effectExtent l="9525" t="9525" r="12065" b="19050"/>
            <wp:docPr id="16" name="图片 16" descr="C:\Users\Administrator\Desktop\竞卖\竞买人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竞卖\竞买人\11.png1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1221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24"/>
    <w:p>
      <w:pPr>
        <w:pStyle w:val="3"/>
        <w:spacing w:before="328" w:after="164"/>
      </w:pPr>
      <w:bookmarkStart w:id="25" w:name="_Toc15514"/>
      <w:bookmarkStart w:id="26" w:name="_Toc18472"/>
      <w:bookmarkStart w:id="27" w:name="_Toc471168600"/>
      <w:bookmarkStart w:id="28" w:name="_Toc11271780"/>
      <w:bookmarkStart w:id="29" w:name="_Toc2002"/>
      <w:bookmarkStart w:id="30" w:name="_Toc11069"/>
      <w:bookmarkStart w:id="31" w:name="_Toc19836"/>
      <w:r>
        <w:rPr>
          <w:rFonts w:hint="eastAsia"/>
        </w:rPr>
        <w:t>提交保证金</w:t>
      </w:r>
      <w:bookmarkEnd w:id="25"/>
      <w:bookmarkEnd w:id="26"/>
      <w:bookmarkEnd w:id="27"/>
      <w:bookmarkEnd w:id="28"/>
      <w:bookmarkEnd w:id="29"/>
      <w:bookmarkEnd w:id="30"/>
      <w:bookmarkEnd w:id="31"/>
    </w:p>
    <w:p>
      <w:pPr>
        <w:pStyle w:val="30"/>
      </w:pPr>
      <w:r>
        <w:rPr>
          <w:rFonts w:hint="eastAsia"/>
        </w:rPr>
        <w:t>若供应商要参与竞价的项目中，竞卖人要求缴纳保证金，点击左侧菜单栏【提交保证金】进入“提交保证金”列表页，选择对应项目，点击【缴纳】进入“缴纳保证金”详细页面。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bdr w:val="single" w:color="auto" w:sz="4" w:space="0"/>
        </w:rPr>
        <w:drawing>
          <wp:inline distT="0" distB="0" distL="0" distR="0">
            <wp:extent cx="6409055" cy="1390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b="54684"/>
                    <a:stretch>
                      <a:fillRect/>
                    </a:stretch>
                  </pic:blipFill>
                  <pic:spPr>
                    <a:xfrm>
                      <a:off x="0" y="0"/>
                      <a:ext cx="6409427" cy="13907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在“缴纳保证金”详细页面中，确认项目信息后，根据保证金金额和保证金账户信息，通过电汇或网银等方式缴纳保证金到指定账户，并上传缴纳凭证，完善供应商信息后，点击【保存并提交审核】。</w:t>
      </w:r>
    </w:p>
    <w:p>
      <w:pPr>
        <w:ind w:firstLine="0" w:firstLineChars="0"/>
        <w:rPr>
          <w:rFonts w:ascii="宋体" w:hAnsi="宋体" w:cs="宋体"/>
          <w:szCs w:val="24"/>
        </w:rPr>
      </w:pPr>
      <w:r>
        <w:drawing>
          <wp:inline distT="0" distB="0" distL="0" distR="0">
            <wp:extent cx="5561330" cy="5237480"/>
            <wp:effectExtent l="0" t="0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28" w:after="164"/>
      </w:pPr>
      <w:bookmarkStart w:id="32" w:name="_Toc11271781"/>
      <w:r>
        <w:rPr>
          <w:rFonts w:hint="eastAsia"/>
        </w:rPr>
        <w:t>参与竞卖竞价</w:t>
      </w:r>
      <w:bookmarkEnd w:id="32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竞价开始时间之后，竞买人开始报价；竞价结束后，可查看历史竞价情况。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竞价方式不同，所查看的竞价内容也不同。</w:t>
      </w:r>
    </w:p>
    <w:p>
      <w:pPr>
        <w:pStyle w:val="4"/>
        <w:spacing w:before="328" w:after="164"/>
      </w:pPr>
      <w:bookmarkStart w:id="33" w:name="_Toc11271782"/>
      <w:r>
        <w:rPr>
          <w:rFonts w:hint="eastAsia"/>
        </w:rPr>
        <w:t>自由竞价</w:t>
      </w:r>
      <w:bookmarkEnd w:id="33"/>
    </w:p>
    <w:p>
      <w:pPr>
        <w:pStyle w:val="31"/>
      </w:pPr>
      <w:r>
        <w:rPr>
          <w:rFonts w:hint="eastAsia"/>
        </w:rPr>
        <w:t>点击左侧菜单栏【参与竞卖竞价】进入“竞卖报价”列表页，选择要参与竞价的项目，点击【报价】进入“竞卖报价”详细页面。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43860"/>
            <wp:effectExtent l="9525" t="9525" r="13335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4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r>
        <w:rPr>
          <w:rFonts w:hint="eastAsia"/>
        </w:rPr>
        <w:t>在“竞卖报价”详细页面中，录入价格，确认无误后，点击【报价】。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336030" cy="4554220"/>
            <wp:effectExtent l="9525" t="9525" r="9525" b="23495"/>
            <wp:docPr id="51" name="图片 51" descr="C:\Users\Administrator\Desktop\竞卖\竞买人\16.pn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竞卖\竞买人\16.png16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55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5" w:firstLine="0" w:firstLineChars="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FF0000"/>
          <w:sz w:val="21"/>
          <w:szCs w:val="21"/>
        </w:rPr>
        <w:t>注：</w:t>
      </w:r>
      <w:r>
        <w:rPr>
          <w:rFonts w:hint="eastAsia" w:ascii="宋体" w:hAnsi="宋体" w:cs="宋体"/>
          <w:sz w:val="21"/>
          <w:szCs w:val="21"/>
        </w:rPr>
        <w:t>在竞价过程中，竞买人可进行多次报价，系统以最后一次成功确认的报价作为最终报价。</w:t>
      </w:r>
    </w:p>
    <w:p>
      <w:pPr>
        <w:pStyle w:val="4"/>
        <w:spacing w:before="328" w:after="164"/>
      </w:pPr>
      <w:bookmarkStart w:id="34" w:name="_Toc11271783"/>
      <w:r>
        <w:rPr>
          <w:rFonts w:hint="eastAsia"/>
        </w:rPr>
        <w:t>限时竞价</w:t>
      </w:r>
      <w:bookmarkEnd w:id="34"/>
    </w:p>
    <w:p>
      <w:pPr>
        <w:pStyle w:val="31"/>
      </w:pPr>
      <w:r>
        <w:rPr>
          <w:rFonts w:hint="eastAsia"/>
        </w:rPr>
        <w:t>点击左侧菜单栏【参与竞卖竞价】进入“竞卖报价”列表页，选择要参与竞价的项目，点击【报价】进入“竞卖报价”详细页面。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43860"/>
            <wp:effectExtent l="9525" t="9525" r="1333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4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r>
        <w:rPr>
          <w:rFonts w:hint="eastAsia"/>
        </w:rPr>
        <w:t>在“竞卖报价”详细页面中，竞价限时内输入价格，确认无误后，点击【报价】。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247130" cy="8455660"/>
            <wp:effectExtent l="9525" t="9525" r="22225" b="23495"/>
            <wp:docPr id="24" name="图片 24" descr="C:\Users\Administrator\Desktop\竞卖\竞买人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竞卖\竞买人\22.png22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845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5" w:firstLine="0" w:firstLineChars="0"/>
        <w:jc w:val="left"/>
        <w:rPr>
          <w:rFonts w:ascii="宋体" w:hAnsi="宋体" w:cs="宋体"/>
          <w:color w:val="FF0000"/>
        </w:rPr>
      </w:pPr>
      <w:r>
        <w:rPr>
          <w:rFonts w:hint="eastAsia" w:ascii="宋体" w:hAnsi="宋体" w:cs="宋体"/>
          <w:b/>
          <w:bCs/>
          <w:color w:val="FF0000"/>
          <w:sz w:val="21"/>
          <w:szCs w:val="21"/>
        </w:rPr>
        <w:t>注：</w:t>
      </w:r>
      <w:r>
        <w:rPr>
          <w:rFonts w:hint="eastAsia" w:ascii="宋体" w:hAnsi="宋体" w:cs="宋体"/>
          <w:color w:val="FF0000"/>
          <w:sz w:val="21"/>
          <w:szCs w:val="21"/>
        </w:rPr>
        <w:t>每轮报价截止时间后，系统自动公布当前最高报价；前一轮的最高报价作为后一轮的报价起始价，且竞买人报价不得低于该轮的起始价；在竞价过程中，竞买人可进行多次报价，系统以最后一次成功确认的报价作为最终报价。</w:t>
      </w:r>
    </w:p>
    <w:p>
      <w:pPr>
        <w:pStyle w:val="4"/>
        <w:spacing w:before="328" w:after="164"/>
      </w:pPr>
      <w:bookmarkStart w:id="35" w:name="_Toc11271784"/>
      <w:r>
        <w:rPr>
          <w:rFonts w:hint="eastAsia"/>
        </w:rPr>
        <w:t>多轮竞价</w:t>
      </w:r>
      <w:bookmarkEnd w:id="35"/>
    </w:p>
    <w:p>
      <w:pPr>
        <w:pStyle w:val="31"/>
      </w:pPr>
      <w:r>
        <w:rPr>
          <w:rFonts w:hint="eastAsia"/>
        </w:rPr>
        <w:t>点击左侧菜单栏【参与竞卖竞价】进入“竞卖报价”列表页，选择要参与竞价的项目，点击【报价】进入“竞卖报价”详细页面。</w:t>
      </w:r>
    </w:p>
    <w:p>
      <w:pPr>
        <w:ind w:firstLine="0" w:firstLineChars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43860"/>
            <wp:effectExtent l="9525" t="9525" r="13335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4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r>
        <w:rPr>
          <w:rFonts w:hint="eastAsia"/>
        </w:rPr>
        <w:t>在“竞卖报价”详细页面中，录入价格，确认无误后，点击【报价】。</w:t>
      </w:r>
      <w:r>
        <w:rPr>
          <w:rFonts w:hint="eastAsia"/>
        </w:rPr>
        <w:drawing>
          <wp:inline distT="0" distB="0" distL="0" distR="0">
            <wp:extent cx="6234430" cy="8015605"/>
            <wp:effectExtent l="9525" t="9525" r="19685" b="21590"/>
            <wp:docPr id="62" name="图片 62" descr="C:\Users\Administrator\Desktop\竞卖\竞买人\23.pn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竞卖\竞买人\23.png23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8015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5" w:firstLine="0" w:firstLineChars="0"/>
        <w:jc w:val="left"/>
      </w:pPr>
      <w:r>
        <w:rPr>
          <w:rFonts w:hint="eastAsia" w:ascii="宋体" w:hAnsi="宋体" w:cs="宋体"/>
          <w:b/>
          <w:bCs/>
          <w:color w:val="FF0000"/>
          <w:sz w:val="21"/>
          <w:szCs w:val="21"/>
        </w:rPr>
        <w:t>注：</w:t>
      </w:r>
      <w:r>
        <w:rPr>
          <w:rFonts w:hint="eastAsia"/>
          <w:color w:val="FF0000"/>
        </w:rPr>
        <w:t>每轮报价截止时间后，系统自动公布当前最高报价。前一轮的最高报价作为后一轮的报价起始价，且竞买人报价不得低于该轮的起始价。前1轮或前2轮报价过程中，存在淘汰供应商情况，供应商被淘汰后不能继续下后续的报价。</w:t>
      </w:r>
    </w:p>
    <w:p>
      <w:pPr>
        <w:pStyle w:val="31"/>
      </w:pPr>
      <w:r>
        <w:rPr>
          <w:rFonts w:hint="eastAsia"/>
        </w:rPr>
        <w:t>竞价结束后，在“竞卖报价”详细页面中，可查看报价历史详情及其他竞买人的报价。</w:t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168275</wp:posOffset>
            </wp:positionH>
            <wp:positionV relativeFrom="page">
              <wp:posOffset>2150745</wp:posOffset>
            </wp:positionV>
            <wp:extent cx="6065520" cy="7192010"/>
            <wp:effectExtent l="9525" t="9525" r="20955" b="22225"/>
            <wp:wrapSquare wrapText="bothSides"/>
            <wp:docPr id="67" name="图片 67" descr="C:\Users\Administrator\Desktop\竞卖\竞买人\26.pn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Desktop\竞卖\竞买人\26.png26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719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328" w:after="164"/>
      </w:pPr>
      <w:bookmarkStart w:id="36" w:name="_Toc471168604"/>
      <w:bookmarkStart w:id="37" w:name="_Toc11271785"/>
      <w:r>
        <w:rPr>
          <w:rFonts w:hint="eastAsia"/>
        </w:rPr>
        <w:t>查看竞卖结果</w:t>
      </w:r>
      <w:bookmarkEnd w:id="36"/>
      <w:bookmarkEnd w:id="37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若采购人发布竞价采购结果后，供应商可查看结果公示。</w:t>
      </w:r>
    </w:p>
    <w:p>
      <w:pPr>
        <w:pStyle w:val="30"/>
      </w:pPr>
      <w:r>
        <w:rPr>
          <w:rFonts w:hint="eastAsia"/>
        </w:rPr>
        <w:t>点击左侧菜单栏【查看竞卖结果】进入“竞卖结果”列表页，选择对应项目，点击【查看】进入“确定竞卖结果”详细页面。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882265"/>
            <wp:effectExtent l="9525" t="9525" r="13335" b="190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82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320790" cy="5196840"/>
            <wp:effectExtent l="9525" t="9525" r="9525" b="20955"/>
            <wp:docPr id="78" name="图片 78" descr="C:\Users\Administrator\Desktop\竞卖\竞买人\20.p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strator\Desktop\竞卖\竞买人\20.png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519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28" w:after="164"/>
      </w:pPr>
      <w:bookmarkStart w:id="38" w:name="_Toc11271786"/>
      <w:bookmarkStart w:id="39" w:name="_Toc471168605"/>
      <w:r>
        <w:rPr>
          <w:rFonts w:hint="eastAsia"/>
        </w:rPr>
        <w:t>查看竞卖结果通知</w:t>
      </w:r>
      <w:bookmarkEnd w:id="38"/>
      <w:bookmarkEnd w:id="39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若竞卖人发布结果通知（书）后，竞买人可查看是否中选。</w:t>
      </w:r>
    </w:p>
    <w:p>
      <w:pPr>
        <w:pStyle w:val="30"/>
      </w:pPr>
      <w:r>
        <w:rPr>
          <w:rFonts w:hint="eastAsia"/>
        </w:rPr>
        <w:t>　点击左侧菜单栏【查看竞卖结果通知】进入“竞卖结果通知”列表页，选择对应项目，如中选操作列显示【打印】，如未中选操作列显示【查看】。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‘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844800"/>
            <wp:effectExtent l="9525" t="9525" r="13335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4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在“结果通知（书）”详细页面中，竞买人可查看通知类型为：中选通知书或未中选通知书。</w:t>
      </w:r>
    </w:p>
    <w:p>
      <w:pPr>
        <w:ind w:firstLine="0" w:firstLineChars="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 xml:space="preserve">    </w:t>
      </w:r>
      <w:r>
        <w:rPr>
          <w:rFonts w:hint="eastAsia"/>
        </w:rPr>
        <w:t>通知类型一：中选通知书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竞买人点击【打印】查看中选通知书时，若中选通知书中要求与竞卖人签订合同，竞买人需根据要求与竞卖人签订采购合同。</w:t>
      </w:r>
    </w:p>
    <w:p>
      <w:pPr>
        <w:ind w:firstLine="0" w:firstLineChars="0"/>
        <w:jc w:val="center"/>
        <w:rPr>
          <w:rFonts w:ascii="宋体" w:hAnsi="宋体" w:cs="宋体"/>
        </w:rPr>
      </w:pPr>
    </w:p>
    <w:p>
      <w:pPr>
        <w:ind w:firstLine="0" w:firstLineChars="0"/>
        <w:jc w:val="left"/>
        <w:rPr>
          <w:rFonts w:ascii="宋体" w:hAnsi="宋体" w:cs="宋体"/>
          <w:color w:val="FF0000"/>
          <w:szCs w:val="24"/>
        </w:rPr>
      </w:pPr>
      <w:r>
        <w:rPr>
          <w:rFonts w:hint="eastAsia" w:ascii="宋体" w:hAnsi="宋体" w:cs="宋体"/>
          <w:color w:val="FF0000"/>
          <w:szCs w:val="24"/>
        </w:rPr>
        <w:t>注：若选择供应商缴纳成交服务费，需缴纳完成交服务费才能打印中选通知书。</w:t>
      </w:r>
    </w:p>
    <w:p>
      <w:pPr>
        <w:ind w:left="400" w:firstLine="0" w:firstLineChars="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通知类型二：未中选通知书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竞买人点击【查看】查看未中选通知书。</w:t>
      </w:r>
    </w:p>
    <w:p>
      <w:pPr>
        <w:ind w:firstLine="480"/>
        <w:rPr>
          <w:rFonts w:ascii="宋体" w:hAnsi="宋体" w:cs="宋体"/>
        </w:rPr>
      </w:pPr>
    </w:p>
    <w:p>
      <w:pPr>
        <w:ind w:left="400" w:firstLine="0" w:firstLineChars="0"/>
        <w:rPr>
          <w:rFonts w:ascii="宋体" w:hAnsi="宋体" w:cs="宋体"/>
        </w:rPr>
      </w:pPr>
    </w:p>
    <w:p>
      <w:pPr>
        <w:numPr>
          <w:ilvl w:val="1"/>
          <w:numId w:val="0"/>
        </w:numPr>
        <w:rPr>
          <w:rFonts w:ascii="宋体" w:hAnsi="宋体" w:cs="宋体"/>
        </w:rPr>
      </w:pPr>
      <w:bookmarkStart w:id="40" w:name="_Toc8203"/>
      <w:bookmarkStart w:id="41" w:name="_Toc471168608"/>
      <w:bookmarkStart w:id="42" w:name="_Toc303"/>
      <w:bookmarkStart w:id="43" w:name="_Toc16365"/>
      <w:bookmarkStart w:id="44" w:name="_Toc31349"/>
      <w:bookmarkStart w:id="45" w:name="_Toc6355"/>
      <w:r>
        <w:rPr>
          <w:rFonts w:hint="eastAsia" w:ascii="宋体" w:hAnsi="宋体" w:cs="宋体"/>
        </w:rPr>
        <w:br w:type="page"/>
      </w:r>
    </w:p>
    <w:p>
      <w:pPr>
        <w:pStyle w:val="3"/>
        <w:spacing w:before="328" w:after="164"/>
      </w:pPr>
      <w:bookmarkStart w:id="46" w:name="_Toc11271787"/>
      <w:r>
        <w:rPr>
          <w:rFonts w:hint="eastAsia"/>
        </w:rPr>
        <w:t>服务费缴纳</w:t>
      </w:r>
      <w:bookmarkEnd w:id="46"/>
    </w:p>
    <w:p>
      <w:pPr>
        <w:pStyle w:val="4"/>
        <w:spacing w:before="328" w:after="164"/>
      </w:pPr>
      <w:bookmarkStart w:id="47" w:name="_Toc11271788"/>
      <w:r>
        <w:rPr>
          <w:rFonts w:hint="eastAsia"/>
        </w:rPr>
        <w:t>缴纳服务费</w:t>
      </w:r>
      <w:bookmarkEnd w:id="47"/>
    </w:p>
    <w:p>
      <w:pPr>
        <w:pStyle w:val="31"/>
      </w:pPr>
      <w:r>
        <w:rPr>
          <w:rFonts w:hint="eastAsia"/>
        </w:rPr>
        <w:t>点击左侧菜单栏【服务费缴纳】缴纳服务费列表页，点击【缴纳】按钮进入缴纳详情页面。</w:t>
      </w:r>
    </w:p>
    <w:p>
      <w:pPr>
        <w:ind w:firstLine="480"/>
        <w:jc w:val="center"/>
        <w:rPr>
          <w:rFonts w:ascii="宋体" w:hAnsi="宋体" w:cs="宋体"/>
          <w:bdr w:val="single" w:color="auto" w:sz="4" w:space="0"/>
        </w:rPr>
      </w:pPr>
      <w:r>
        <w:rPr>
          <w:rFonts w:hint="eastAsia" w:ascii="宋体" w:hAnsi="宋体" w:cs="宋体"/>
        </w:rPr>
        <w:t xml:space="preserve"> </w:t>
      </w:r>
      <w:r>
        <w:rPr>
          <w:rFonts w:hint="eastAsia" w:ascii="宋体" w:hAnsi="宋体" w:cs="宋体"/>
        </w:rPr>
        <w:drawing>
          <wp:inline distT="0" distB="0" distL="0" distR="0">
            <wp:extent cx="6408420" cy="2777490"/>
            <wp:effectExtent l="9525" t="9525" r="13335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777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r>
        <w:rPr>
          <w:rFonts w:hint="eastAsia"/>
        </w:rPr>
        <w:t>在“缴纳服务费”详细页面中，确认项目信息后，点击“缴纳”，当服务费小于等于1000时，支付方式只能为支付宝。提交支付订单网上进行缴纳。当服务费大于1000时，只能使用网银转账的方式缴纳，通过网银方式缴纳服务费到指定账户，并上传缴纳凭证，完善发票信息后，点击【保存并提交审核】，由财务工作人员审核通过后，完成服务费缴纳操作，即可打印中选结果通知并开具发票。服务费小于等于一万元，开具电子发票；大于一万元，开具纸质发票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drawing>
          <wp:inline distT="0" distB="0" distL="0" distR="0">
            <wp:extent cx="6408420" cy="35509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 w:cs="宋体"/>
        </w:rPr>
      </w:pP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6403340" cy="3282950"/>
            <wp:effectExtent l="9525" t="9525" r="18415" b="14605"/>
            <wp:docPr id="14" name="图片 3" descr="QQ截图2018052910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QQ截图201805291047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32829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 w:cs="宋体"/>
        </w:rPr>
      </w:pPr>
    </w:p>
    <w:p>
      <w:pPr>
        <w:pStyle w:val="4"/>
        <w:spacing w:before="328" w:after="164"/>
      </w:pPr>
      <w:bookmarkStart w:id="48" w:name="_Toc11271789"/>
      <w:r>
        <w:rPr>
          <w:rFonts w:hint="eastAsia"/>
        </w:rPr>
        <w:t>电子发票下载</w:t>
      </w:r>
      <w:bookmarkEnd w:id="48"/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缴纳完成交服务费，服务费审核通过后，将会开具发票。可以在查看缴纳服务费界面查看发票开具状态和下载电子发票。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75095" cy="2799080"/>
            <wp:effectExtent l="9525" t="9525" r="22860" b="10795"/>
            <wp:docPr id="41" name="图片 41" descr="C:\Users\win2\AppData\Local\Temp\153409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n2\AppData\Local\Temp\153409180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55" b="6528"/>
                    <a:stretch>
                      <a:fillRect/>
                    </a:stretch>
                  </pic:blipFill>
                  <pic:spPr>
                    <a:xfrm>
                      <a:off x="0" y="0"/>
                      <a:ext cx="6476029" cy="2799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 w:cs="宋体"/>
        </w:rPr>
      </w:pPr>
      <w:r>
        <w:drawing>
          <wp:inline distT="0" distB="0" distL="0" distR="0">
            <wp:extent cx="6484620" cy="50622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04368" cy="50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28" w:after="164"/>
      </w:pPr>
      <w:bookmarkStart w:id="49" w:name="_Toc11271790"/>
      <w:r>
        <w:rPr>
          <w:rFonts w:hint="eastAsia"/>
        </w:rPr>
        <w:t>项目异常</w:t>
      </w:r>
      <w:bookmarkEnd w:id="49"/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采购人发布项目异常公告后，该项目的后续流程将暂停，无法继续。</w:t>
      </w:r>
    </w:p>
    <w:p>
      <w:pPr>
        <w:pStyle w:val="4"/>
        <w:spacing w:before="328" w:after="164"/>
      </w:pPr>
      <w:bookmarkStart w:id="50" w:name="_Toc11271791"/>
      <w:r>
        <w:rPr>
          <w:rFonts w:hint="eastAsia"/>
        </w:rPr>
        <w:t>竞卖项目异常</w:t>
      </w:r>
      <w:bookmarkEnd w:id="50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点击左侧菜单栏【</w:t>
      </w:r>
      <w:r>
        <w:rPr>
          <w:rFonts w:hint="eastAsia" w:ascii="宋体" w:hAnsi="宋体" w:cs="宋体"/>
          <w:szCs w:val="24"/>
        </w:rPr>
        <w:t>采购项目</w:t>
      </w:r>
      <w:r>
        <w:rPr>
          <w:rFonts w:hint="eastAsia" w:ascii="宋体" w:hAnsi="宋体" w:cs="宋体"/>
        </w:rPr>
        <w:t>异常】进入“</w:t>
      </w:r>
      <w:r>
        <w:rPr>
          <w:rFonts w:hint="eastAsia" w:ascii="宋体" w:hAnsi="宋体" w:cs="宋体"/>
          <w:szCs w:val="24"/>
        </w:rPr>
        <w:t>采购项目</w:t>
      </w:r>
      <w:r>
        <w:rPr>
          <w:rFonts w:hint="eastAsia" w:ascii="宋体" w:hAnsi="宋体" w:cs="宋体"/>
        </w:rPr>
        <w:t>异常”列表页，选择需要查看的项目异常公告，点击【查看】即可查看</w:t>
      </w:r>
      <w:r>
        <w:rPr>
          <w:rFonts w:hint="eastAsia" w:ascii="宋体" w:hAnsi="宋体" w:cs="宋体"/>
          <w:szCs w:val="24"/>
        </w:rPr>
        <w:t>项目异常公告</w:t>
      </w:r>
      <w:r>
        <w:rPr>
          <w:rFonts w:hint="eastAsia" w:ascii="宋体" w:hAnsi="宋体" w:cs="宋体"/>
        </w:rPr>
        <w:t>具体内容。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3011805"/>
            <wp:effectExtent l="9525" t="9525" r="13335" b="11430"/>
            <wp:docPr id="45" name="图片 45" descr="C:\Users\win2\Pictures\供应商项目异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in2\Pictures\供应商项目异常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012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3020695"/>
            <wp:effectExtent l="9525" t="9525" r="13335" b="17780"/>
            <wp:docPr id="46" name="图片 46" descr="C:\Users\win2\Pictures\供应商项目异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win2\Pictures\供应商项目异常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020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28" w:after="164"/>
      </w:pPr>
      <w:bookmarkStart w:id="51" w:name="_Toc11271792"/>
      <w:r>
        <w:rPr>
          <w:rFonts w:hint="eastAsia"/>
        </w:rPr>
        <w:t>流标公告（响应供应商不足）</w:t>
      </w:r>
      <w:bookmarkEnd w:id="51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当项目截止报价后，有效报价家数不足时，系统将自动发布“</w:t>
      </w:r>
      <w:r>
        <w:rPr>
          <w:rFonts w:hint="eastAsia" w:ascii="宋体" w:hAnsi="宋体" w:cs="宋体"/>
          <w:szCs w:val="24"/>
        </w:rPr>
        <w:t>流标公告（响应供应商不足）</w:t>
      </w:r>
      <w:r>
        <w:rPr>
          <w:rFonts w:hint="eastAsia" w:ascii="宋体" w:hAnsi="宋体" w:cs="宋体"/>
        </w:rPr>
        <w:t>”，点击左侧菜单栏【</w:t>
      </w:r>
      <w:r>
        <w:rPr>
          <w:rFonts w:hint="eastAsia" w:ascii="宋体" w:hAnsi="宋体" w:cs="宋体"/>
          <w:szCs w:val="24"/>
        </w:rPr>
        <w:t>流标公告（响应供应商不足）</w:t>
      </w:r>
      <w:r>
        <w:rPr>
          <w:rFonts w:hint="eastAsia" w:ascii="宋体" w:hAnsi="宋体" w:cs="宋体"/>
        </w:rPr>
        <w:t>】进入“</w:t>
      </w:r>
      <w:r>
        <w:rPr>
          <w:rFonts w:hint="eastAsia" w:ascii="宋体" w:hAnsi="宋体" w:cs="宋体"/>
          <w:szCs w:val="24"/>
        </w:rPr>
        <w:t>流标公告</w:t>
      </w:r>
      <w:r>
        <w:rPr>
          <w:rFonts w:hint="eastAsia" w:ascii="宋体" w:hAnsi="宋体" w:cs="宋体"/>
        </w:rPr>
        <w:t>”列表页，选择需要查看的流标公告，点击【查看】即可流标</w:t>
      </w:r>
      <w:r>
        <w:rPr>
          <w:rFonts w:hint="eastAsia" w:ascii="宋体" w:hAnsi="宋体" w:cs="宋体"/>
          <w:szCs w:val="24"/>
        </w:rPr>
        <w:t>公告</w:t>
      </w:r>
      <w:r>
        <w:rPr>
          <w:rFonts w:hint="eastAsia" w:ascii="宋体" w:hAnsi="宋体" w:cs="宋体"/>
        </w:rPr>
        <w:t>具体内容。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2974975"/>
            <wp:effectExtent l="9525" t="9525" r="13335" b="177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7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0" distR="0">
            <wp:extent cx="6408420" cy="3029585"/>
            <wp:effectExtent l="9525" t="9525" r="13335" b="2413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029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28" w:after="164"/>
      </w:pPr>
      <w:bookmarkStart w:id="52" w:name="_Toc11271793"/>
      <w:r>
        <w:rPr>
          <w:rFonts w:hint="eastAsia"/>
        </w:rPr>
        <w:t>联系我们</w:t>
      </w:r>
      <w:bookmarkEnd w:id="40"/>
      <w:bookmarkEnd w:id="41"/>
      <w:bookmarkEnd w:id="42"/>
      <w:bookmarkEnd w:id="43"/>
      <w:bookmarkEnd w:id="44"/>
      <w:bookmarkEnd w:id="45"/>
      <w:bookmarkEnd w:id="52"/>
    </w:p>
    <w:p>
      <w:pPr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技术支持：北京筑龙信息技术有限责任公司</w:t>
      </w:r>
    </w:p>
    <w:p>
      <w:pPr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客服电话：</w:t>
      </w:r>
      <w:r>
        <w:t>010-86392341</w:t>
      </w:r>
    </w:p>
    <w:p>
      <w:pPr>
        <w:ind w:firstLine="480"/>
        <w:jc w:val="center"/>
        <w:rPr>
          <w:rFonts w:ascii="宋体" w:hAnsi="宋体" w:cs="宋体"/>
        </w:rPr>
      </w:pPr>
    </w:p>
    <w:p>
      <w:pPr>
        <w:spacing w:before="312"/>
        <w:ind w:firstLine="480"/>
        <w:rPr>
          <w:rFonts w:ascii="宋体" w:hAnsi="宋体" w:cs="宋体"/>
        </w:rPr>
      </w:pPr>
    </w:p>
    <w:sectPr>
      <w:headerReference r:id="rId13" w:type="default"/>
      <w:footerReference r:id="rId15" w:type="default"/>
      <w:headerReference r:id="rId14" w:type="even"/>
      <w:footerReference r:id="rId16" w:type="even"/>
      <w:pgSz w:w="11906" w:h="16838"/>
      <w:pgMar w:top="1020" w:right="907" w:bottom="1020" w:left="907" w:header="851" w:footer="680" w:gutter="0"/>
      <w:pgNumType w:start="1"/>
      <w:cols w:space="0" w:num="1"/>
      <w:docGrid w:type="lines" w:linePitch="328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ind w:firstLine="480"/>
                            <w:jc w:val="right"/>
                          </w:pPr>
                        </w:p>
                        <w:p>
                          <w:pPr>
                            <w:ind w:firstLine="48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38yactAgAAV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F38yac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ind w:firstLine="480"/>
                      <w:jc w:val="right"/>
                    </w:pPr>
                  </w:p>
                  <w:p>
                    <w:pPr>
                      <w:ind w:firstLine="480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93038"/>
      <w:docPartObj>
        <w:docPartGallery w:val="autotext"/>
      </w:docPartObj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22</w:t>
        </w:r>
        <w:r>
          <w:fldChar w:fldCharType="end"/>
        </w:r>
      </w:p>
    </w:sdtContent>
  </w:sdt>
  <w:p>
    <w:pPr>
      <w:pStyle w:val="9"/>
      <w:ind w:firstLine="360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J7cdktAgAAV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GJ7cd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817AE"/>
    <w:multiLevelType w:val="multilevel"/>
    <w:tmpl w:val="039817AE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30"/>
      <w:suff w:val="space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pStyle w:val="31"/>
      <w:suff w:val="space"/>
      <w:lvlText w:val="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A60AE6"/>
    <w:rsid w:val="0007080A"/>
    <w:rsid w:val="000A7C1C"/>
    <w:rsid w:val="000C5288"/>
    <w:rsid w:val="000D3811"/>
    <w:rsid w:val="001018CB"/>
    <w:rsid w:val="001162BA"/>
    <w:rsid w:val="00171255"/>
    <w:rsid w:val="001C2602"/>
    <w:rsid w:val="001F7EFB"/>
    <w:rsid w:val="002C1F68"/>
    <w:rsid w:val="002E062B"/>
    <w:rsid w:val="003F1834"/>
    <w:rsid w:val="00405B77"/>
    <w:rsid w:val="0041224D"/>
    <w:rsid w:val="005F0198"/>
    <w:rsid w:val="00610282"/>
    <w:rsid w:val="006F6958"/>
    <w:rsid w:val="007378DE"/>
    <w:rsid w:val="00744AF8"/>
    <w:rsid w:val="007C503B"/>
    <w:rsid w:val="007D0014"/>
    <w:rsid w:val="00854426"/>
    <w:rsid w:val="00871B91"/>
    <w:rsid w:val="0088470B"/>
    <w:rsid w:val="009A0807"/>
    <w:rsid w:val="00A60AE6"/>
    <w:rsid w:val="00B46C60"/>
    <w:rsid w:val="00B5422C"/>
    <w:rsid w:val="00B628F0"/>
    <w:rsid w:val="00B721B4"/>
    <w:rsid w:val="00B8774F"/>
    <w:rsid w:val="00BD046F"/>
    <w:rsid w:val="00C26433"/>
    <w:rsid w:val="00CB5EB8"/>
    <w:rsid w:val="00CE2AB7"/>
    <w:rsid w:val="00D90A0E"/>
    <w:rsid w:val="00E00331"/>
    <w:rsid w:val="00E015BE"/>
    <w:rsid w:val="00E71D4E"/>
    <w:rsid w:val="00EB0EA1"/>
    <w:rsid w:val="00F10051"/>
    <w:rsid w:val="00F740E1"/>
    <w:rsid w:val="01567899"/>
    <w:rsid w:val="1D3900DA"/>
    <w:rsid w:val="73A1789C"/>
    <w:rsid w:val="7CCA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link w:val="19"/>
    <w:qFormat/>
    <w:uiPriority w:val="9"/>
    <w:pPr>
      <w:numPr>
        <w:ilvl w:val="0"/>
      </w:numPr>
      <w:outlineLvl w:val="0"/>
    </w:pPr>
    <w:rPr>
      <w:sz w:val="36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312" w:beforeLines="100" w:after="156" w:afterLines="50" w:line="240" w:lineRule="auto"/>
      <w:ind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100" w:beforeLines="100" w:after="50" w:afterLines="50" w:line="240" w:lineRule="auto"/>
      <w:ind w:firstLineChars="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34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link w:val="26"/>
    <w:unhideWhenUsed/>
    <w:qFormat/>
    <w:uiPriority w:val="39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3"/>
    <w:qFormat/>
    <w:uiPriority w:val="10"/>
    <w:pPr>
      <w:spacing w:line="240" w:lineRule="auto"/>
      <w:ind w:firstLine="0" w:firstLineChars="0"/>
      <w:jc w:val="center"/>
      <w:outlineLvl w:val="0"/>
    </w:pPr>
    <w:rPr>
      <w:rFonts w:asciiTheme="majorHAnsi" w:hAnsiTheme="majorHAnsi" w:cstheme="majorBidi"/>
      <w:b/>
      <w:bCs/>
      <w:sz w:val="5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标题 1 Char"/>
    <w:basedOn w:val="16"/>
    <w:link w:val="2"/>
    <w:qFormat/>
    <w:uiPriority w:val="9"/>
    <w:rPr>
      <w:rFonts w:eastAsia="宋体" w:asciiTheme="majorHAnsi" w:hAnsiTheme="majorHAnsi" w:cstheme="majorBidi"/>
      <w:b/>
      <w:bCs/>
      <w:sz w:val="36"/>
      <w:szCs w:val="32"/>
    </w:rPr>
  </w:style>
  <w:style w:type="character" w:customStyle="1" w:styleId="20">
    <w:name w:val="标题 2 Char"/>
    <w:basedOn w:val="16"/>
    <w:link w:val="3"/>
    <w:qFormat/>
    <w:uiPriority w:val="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1">
    <w:name w:val="标题 3 Char"/>
    <w:basedOn w:val="16"/>
    <w:link w:val="4"/>
    <w:qFormat/>
    <w:uiPriority w:val="9"/>
    <w:rPr>
      <w:rFonts w:eastAsia="宋体"/>
      <w:b/>
      <w:bCs/>
      <w:sz w:val="30"/>
      <w:szCs w:val="32"/>
    </w:rPr>
  </w:style>
  <w:style w:type="character" w:customStyle="1" w:styleId="22">
    <w:name w:val="标题 4 Char"/>
    <w:basedOn w:val="16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Char"/>
    <w:basedOn w:val="16"/>
    <w:link w:val="13"/>
    <w:qFormat/>
    <w:uiPriority w:val="10"/>
    <w:rPr>
      <w:rFonts w:eastAsia="宋体" w:asciiTheme="majorHAnsi" w:hAnsiTheme="majorHAnsi" w:cstheme="majorBidi"/>
      <w:b/>
      <w:bCs/>
      <w:sz w:val="52"/>
      <w:szCs w:val="32"/>
    </w:rPr>
  </w:style>
  <w:style w:type="paragraph" w:customStyle="1" w:styleId="24">
    <w:name w:val="标题3"/>
    <w:basedOn w:val="11"/>
    <w:link w:val="27"/>
    <w:qFormat/>
    <w:uiPriority w:val="0"/>
    <w:pPr>
      <w:tabs>
        <w:tab w:val="right" w:leader="dot" w:pos="8296"/>
      </w:tabs>
      <w:spacing w:before="100" w:beforeLines="100" w:after="50" w:afterLines="50" w:line="240" w:lineRule="auto"/>
      <w:ind w:firstLine="0" w:firstLineChars="0"/>
    </w:pPr>
    <w:rPr>
      <w:sz w:val="30"/>
    </w:rPr>
  </w:style>
  <w:style w:type="character" w:customStyle="1" w:styleId="25">
    <w:name w:val="明显参考1"/>
    <w:basedOn w:val="16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26">
    <w:name w:val="目录 1 Char"/>
    <w:basedOn w:val="16"/>
    <w:link w:val="11"/>
    <w:qFormat/>
    <w:uiPriority w:val="39"/>
    <w:rPr>
      <w:rFonts w:cstheme="minorHAnsi"/>
      <w:b/>
      <w:bCs/>
      <w:caps/>
      <w:sz w:val="20"/>
      <w:szCs w:val="20"/>
    </w:rPr>
  </w:style>
  <w:style w:type="character" w:customStyle="1" w:styleId="27">
    <w:name w:val="标题3 字符"/>
    <w:basedOn w:val="26"/>
    <w:link w:val="24"/>
    <w:qFormat/>
    <w:uiPriority w:val="0"/>
    <w:rPr>
      <w:rFonts w:eastAsia="宋体" w:cstheme="minorHAnsi"/>
      <w:sz w:val="30"/>
      <w:szCs w:val="20"/>
    </w:rPr>
  </w:style>
  <w:style w:type="character" w:customStyle="1" w:styleId="28">
    <w:name w:val="不明显强调1"/>
    <w:basedOn w:val="16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无间隔1"/>
    <w:qFormat/>
    <w:uiPriority w:val="99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customStyle="1" w:styleId="30">
    <w:name w:val="款"/>
    <w:basedOn w:val="1"/>
    <w:link w:val="32"/>
    <w:qFormat/>
    <w:uiPriority w:val="0"/>
    <w:pPr>
      <w:widowControl/>
      <w:numPr>
        <w:ilvl w:val="3"/>
        <w:numId w:val="1"/>
      </w:numPr>
      <w:ind w:firstLineChars="0"/>
      <w:jc w:val="left"/>
    </w:pPr>
  </w:style>
  <w:style w:type="paragraph" w:customStyle="1" w:styleId="31">
    <w:name w:val="项"/>
    <w:basedOn w:val="1"/>
    <w:link w:val="33"/>
    <w:qFormat/>
    <w:uiPriority w:val="0"/>
    <w:pPr>
      <w:widowControl/>
      <w:numPr>
        <w:ilvl w:val="4"/>
        <w:numId w:val="1"/>
      </w:numPr>
      <w:ind w:firstLineChars="0"/>
      <w:jc w:val="left"/>
    </w:pPr>
  </w:style>
  <w:style w:type="character" w:customStyle="1" w:styleId="32">
    <w:name w:val="款 字符"/>
    <w:basedOn w:val="16"/>
    <w:link w:val="30"/>
    <w:qFormat/>
    <w:uiPriority w:val="0"/>
    <w:rPr>
      <w:rFonts w:eastAsia="宋体"/>
      <w:sz w:val="24"/>
    </w:rPr>
  </w:style>
  <w:style w:type="character" w:customStyle="1" w:styleId="33">
    <w:name w:val="项 字符"/>
    <w:basedOn w:val="16"/>
    <w:link w:val="31"/>
    <w:qFormat/>
    <w:uiPriority w:val="0"/>
    <w:rPr>
      <w:rFonts w:eastAsia="宋体"/>
      <w:sz w:val="24"/>
    </w:rPr>
  </w:style>
  <w:style w:type="character" w:customStyle="1" w:styleId="34">
    <w:name w:val="批注框文本 Char"/>
    <w:basedOn w:val="16"/>
    <w:link w:val="8"/>
    <w:semiHidden/>
    <w:qFormat/>
    <w:uiPriority w:val="99"/>
    <w:rPr>
      <w:rFonts w:eastAsia="宋体"/>
      <w:sz w:val="18"/>
      <w:szCs w:val="18"/>
    </w:rPr>
  </w:style>
  <w:style w:type="paragraph" w:customStyle="1" w:styleId="35">
    <w:name w:val="无间隔11"/>
    <w:qFormat/>
    <w:uiPriority w:val="99"/>
    <w:pPr>
      <w:widowControl w:val="0"/>
      <w:spacing w:line="300" w:lineRule="auto"/>
      <w:ind w:firstLine="200" w:firstLineChars="200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customStyle="1" w:styleId="36">
    <w:name w:val="列表段落1"/>
    <w:basedOn w:val="1"/>
    <w:qFormat/>
    <w:uiPriority w:val="99"/>
    <w:pPr>
      <w:ind w:firstLine="420"/>
    </w:pPr>
  </w:style>
  <w:style w:type="paragraph" w:customStyle="1" w:styleId="37">
    <w:name w:val="列出段落2"/>
    <w:basedOn w:val="1"/>
    <w:unhideWhenUsed/>
    <w:qFormat/>
    <w:uiPriority w:val="99"/>
    <w:pPr>
      <w:ind w:firstLine="420"/>
    </w:pPr>
  </w:style>
  <w:style w:type="paragraph" w:customStyle="1" w:styleId="38">
    <w:name w:val="列出段落3"/>
    <w:basedOn w:val="1"/>
    <w:unhideWhenUsed/>
    <w:qFormat/>
    <w:uiPriority w:val="99"/>
    <w:pPr>
      <w:ind w:firstLine="420"/>
    </w:pPr>
  </w:style>
  <w:style w:type="character" w:customStyle="1" w:styleId="39">
    <w:name w:val="页脚 Char"/>
    <w:basedOn w:val="16"/>
    <w:link w:val="9"/>
    <w:qFormat/>
    <w:uiPriority w:val="99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endnotes" Target="endnotes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5.xml"/><Relationship Id="rId13" Type="http://schemas.openxmlformats.org/officeDocument/2006/relationships/header" Target="header4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8C7F1C-4DAB-405C-9A8D-22131D65D8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648</Words>
  <Characters>3698</Characters>
  <Lines>30</Lines>
  <Paragraphs>8</Paragraphs>
  <TotalTime>40</TotalTime>
  <ScaleCrop>false</ScaleCrop>
  <LinksUpToDate>false</LinksUpToDate>
  <CharactersWithSpaces>4338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2019-05-10T03:41:00Z</dcterms:created>
  <dc:creator>zhou c</dc:creator>
  <cp:lastModifiedBy>改变</cp:lastModifiedBy>
  <dcterms:modified xsi:type="dcterms:W3CDTF">2023-03-29T07:48:53Z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BBE970B6B5F846A7B0346222A282BA3D_12</vt:lpwstr>
  </property>
</Properties>
</file>