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8" w:firstLineChars="41"/>
        <w:jc w:val="left"/>
        <w:rPr>
          <w:rFonts w:ascii="黑体" w:hAnsi="Times New Roman" w:eastAsia="黑体" w:cs="Times New Roman"/>
          <w:b/>
          <w:sz w:val="48"/>
          <w:szCs w:val="48"/>
        </w:rPr>
      </w:pPr>
      <w:r>
        <w:rPr>
          <w:rFonts w:hint="eastAsia" w:ascii="黑体" w:hAnsi="Times New Roman" w:eastAsia="黑体" w:cs="Times New Roman"/>
          <w:b/>
          <w:sz w:val="48"/>
          <w:szCs w:val="48"/>
        </w:rPr>
        <w:tab/>
      </w:r>
    </w:p>
    <w:p>
      <w:pPr>
        <w:ind w:firstLine="964"/>
        <w:jc w:val="center"/>
        <w:rPr>
          <w:rFonts w:ascii="黑体" w:hAnsi="Times New Roman" w:eastAsia="黑体" w:cs="Times New Roman"/>
          <w:b/>
          <w:sz w:val="48"/>
          <w:szCs w:val="48"/>
        </w:rPr>
      </w:pPr>
    </w:p>
    <w:p>
      <w:pPr>
        <w:ind w:firstLine="964"/>
        <w:jc w:val="center"/>
        <w:rPr>
          <w:rFonts w:ascii="黑体" w:hAnsi="Times New Roman" w:eastAsia="黑体" w:cs="Times New Roman"/>
          <w:b/>
          <w:sz w:val="48"/>
          <w:szCs w:val="48"/>
        </w:rPr>
      </w:pPr>
    </w:p>
    <w:p>
      <w:pPr>
        <w:ind w:firstLine="964"/>
        <w:jc w:val="center"/>
        <w:rPr>
          <w:rFonts w:ascii="黑体" w:hAnsi="Times New Roman" w:eastAsia="黑体" w:cs="Times New Roman"/>
          <w:b/>
          <w:sz w:val="48"/>
          <w:szCs w:val="48"/>
        </w:rPr>
      </w:pPr>
    </w:p>
    <w:p>
      <w:pPr>
        <w:ind w:firstLine="964"/>
        <w:jc w:val="center"/>
        <w:rPr>
          <w:rFonts w:ascii="黑体" w:hAnsi="Times New Roman" w:eastAsia="黑体" w:cs="Times New Roman"/>
          <w:b/>
          <w:sz w:val="48"/>
          <w:szCs w:val="48"/>
        </w:rPr>
      </w:pPr>
    </w:p>
    <w:p>
      <w:pPr>
        <w:ind w:firstLine="964"/>
        <w:jc w:val="center"/>
        <w:rPr>
          <w:rFonts w:ascii="黑体" w:hAnsi="Times New Roman" w:eastAsia="黑体" w:cs="Times New Roman"/>
          <w:b/>
          <w:sz w:val="48"/>
          <w:szCs w:val="48"/>
        </w:rPr>
      </w:pPr>
      <w:r>
        <w:rPr>
          <w:rFonts w:hint="eastAsia" w:ascii="黑体" w:hAnsi="Times New Roman" w:eastAsia="黑体" w:cs="Times New Roman"/>
          <w:b/>
          <w:sz w:val="48"/>
          <w:szCs w:val="48"/>
        </w:rPr>
        <w:t>中燃集团非招标采购交易平台</w:t>
      </w:r>
    </w:p>
    <w:p>
      <w:pPr>
        <w:ind w:firstLine="964"/>
        <w:jc w:val="center"/>
        <w:rPr>
          <w:rFonts w:ascii="黑体" w:hAnsi="Times New Roman" w:eastAsia="黑体" w:cs="Times New Roman"/>
          <w:b/>
          <w:sz w:val="48"/>
          <w:szCs w:val="48"/>
        </w:rPr>
      </w:pPr>
    </w:p>
    <w:p>
      <w:pPr>
        <w:ind w:firstLine="964"/>
        <w:jc w:val="center"/>
        <w:rPr>
          <w:rFonts w:ascii="黑体" w:hAnsi="Times New Roman" w:eastAsia="黑体" w:cs="Times New Roman"/>
          <w:b/>
          <w:sz w:val="48"/>
          <w:szCs w:val="48"/>
        </w:rPr>
      </w:pPr>
      <w:r>
        <w:rPr>
          <w:rFonts w:hint="eastAsia" w:ascii="黑体" w:hAnsi="Times New Roman" w:eastAsia="黑体" w:cs="Times New Roman"/>
          <w:b/>
          <w:sz w:val="48"/>
          <w:szCs w:val="48"/>
        </w:rPr>
        <w:t>竞价采购操作指引</w:t>
      </w:r>
    </w:p>
    <w:p>
      <w:pPr>
        <w:ind w:firstLine="643"/>
        <w:contextualSpacing/>
        <w:jc w:val="center"/>
        <w:rPr>
          <w:rFonts w:ascii="仿宋" w:hAnsi="仿宋" w:eastAsia="仿宋"/>
          <w:b/>
          <w:sz w:val="32"/>
          <w:szCs w:val="32"/>
        </w:rPr>
      </w:pPr>
    </w:p>
    <w:p>
      <w:pPr>
        <w:ind w:firstLine="643"/>
        <w:contextualSpacing/>
        <w:jc w:val="center"/>
        <w:rPr>
          <w:rFonts w:ascii="仿宋" w:hAnsi="仿宋" w:eastAsia="仿宋"/>
          <w:b/>
          <w:sz w:val="32"/>
          <w:szCs w:val="32"/>
        </w:rPr>
      </w:pPr>
      <w:r>
        <w:rPr>
          <w:rFonts w:hint="eastAsia" w:ascii="仿宋" w:hAnsi="仿宋" w:eastAsia="仿宋"/>
          <w:b/>
          <w:sz w:val="32"/>
          <w:szCs w:val="32"/>
        </w:rPr>
        <w:t>（供应商）</w:t>
      </w: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rPr>
          <w:rFonts w:ascii="宋体" w:hAnsi="宋体" w:cs="宋体"/>
          <w:b/>
          <w:bCs/>
          <w:kern w:val="44"/>
          <w:szCs w:val="24"/>
        </w:rPr>
      </w:pPr>
      <w:r>
        <w:rPr>
          <w:rFonts w:ascii="宋体" w:hAnsi="宋体" w:cs="宋体"/>
          <w:b/>
          <w:bCs/>
          <w:kern w:val="44"/>
          <w:szCs w:val="24"/>
        </w:rPr>
        <w:t xml:space="preserve"> </w:t>
      </w:r>
    </w:p>
    <w:p>
      <w:pPr>
        <w:ind w:firstLine="562"/>
        <w:jc w:val="center"/>
        <w:rPr>
          <w:rFonts w:ascii="宋体" w:hAnsi="宋体" w:cs="宋体"/>
          <w:b/>
          <w:bCs/>
          <w:kern w:val="44"/>
          <w:sz w:val="28"/>
          <w:szCs w:val="28"/>
        </w:rPr>
      </w:pPr>
      <w:r>
        <w:rPr>
          <w:rFonts w:ascii="宋体" w:hAnsi="宋体" w:cs="宋体"/>
          <w:b/>
          <w:bCs/>
          <w:kern w:val="44"/>
          <w:sz w:val="28"/>
          <w:szCs w:val="28"/>
        </w:rPr>
        <w:t>20</w:t>
      </w:r>
      <w:r>
        <w:rPr>
          <w:rFonts w:hint="eastAsia" w:ascii="宋体" w:hAnsi="宋体" w:cs="宋体"/>
          <w:b/>
          <w:bCs/>
          <w:kern w:val="44"/>
          <w:sz w:val="28"/>
          <w:szCs w:val="28"/>
        </w:rPr>
        <w:t>02年02月</w:t>
      </w:r>
    </w:p>
    <w:p>
      <w:pPr>
        <w:ind w:firstLine="482"/>
        <w:jc w:val="center"/>
        <w:rPr>
          <w:rFonts w:ascii="宋体" w:hAnsi="宋体" w:cs="宋体"/>
          <w:b/>
          <w:bCs/>
          <w:kern w:val="44"/>
          <w:szCs w:val="24"/>
        </w:rPr>
      </w:pPr>
    </w:p>
    <w:p>
      <w:pPr>
        <w:widowControl/>
        <w:spacing w:line="240" w:lineRule="auto"/>
        <w:ind w:firstLine="0" w:firstLineChars="0"/>
        <w:jc w:val="left"/>
        <w:rPr>
          <w:rFonts w:ascii="宋体" w:hAnsi="宋体" w:cs="宋体"/>
          <w:bCs/>
          <w:kern w:val="44"/>
          <w:szCs w:val="24"/>
        </w:rPr>
      </w:pPr>
      <w:r>
        <w:rPr>
          <w:rFonts w:ascii="宋体" w:hAnsi="宋体" w:cs="宋体"/>
          <w:bCs/>
          <w:kern w:val="44"/>
          <w:szCs w:val="24"/>
        </w:rPr>
        <w:br w:type="page"/>
      </w:r>
    </w:p>
    <w:p>
      <w:pPr>
        <w:pStyle w:val="2"/>
        <w:spacing w:before="326" w:after="16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680" w:gutter="0"/>
          <w:pgNumType w:start="1"/>
          <w:cols w:space="425" w:num="1"/>
          <w:docGrid w:type="lines" w:linePitch="326" w:charSpace="0"/>
        </w:sectPr>
      </w:pPr>
      <w:bookmarkStart w:id="0" w:name="_Toc471168588"/>
      <w:bookmarkStart w:id="1" w:name="_Toc464644765"/>
      <w:bookmarkStart w:id="2" w:name="_Toc427496340"/>
      <w:bookmarkStart w:id="3" w:name="_Toc3046"/>
      <w:bookmarkStart w:id="4" w:name="_Toc31791"/>
      <w:bookmarkStart w:id="5" w:name="_Toc14347"/>
      <w:bookmarkStart w:id="6" w:name="_Toc27016"/>
      <w:bookmarkStart w:id="7" w:name="_Toc15892"/>
    </w:p>
    <w:bookmarkEnd w:id="0"/>
    <w:bookmarkEnd w:id="1"/>
    <w:bookmarkEnd w:id="2"/>
    <w:p>
      <w:pPr>
        <w:pStyle w:val="14"/>
      </w:pPr>
      <w:bookmarkStart w:id="8" w:name="_Toc11271823"/>
      <w:bookmarkStart w:id="9" w:name="_Toc471168592"/>
      <w:r>
        <w:rPr>
          <w:rFonts w:hint="eastAsia"/>
        </w:rPr>
        <w:t>供应商竞价采购操作流程</w:t>
      </w:r>
      <w:bookmarkEnd w:id="8"/>
    </w:p>
    <w:p>
      <w:pPr>
        <w:pStyle w:val="2"/>
        <w:spacing w:before="328" w:after="164"/>
      </w:pPr>
      <w:bookmarkStart w:id="10" w:name="_Toc11271824"/>
      <w:r>
        <w:rPr>
          <w:rFonts w:hint="eastAsia"/>
        </w:rPr>
        <w:t>用户</w:t>
      </w:r>
      <w:bookmarkEnd w:id="3"/>
      <w:bookmarkEnd w:id="4"/>
      <w:bookmarkEnd w:id="5"/>
      <w:bookmarkEnd w:id="6"/>
      <w:bookmarkEnd w:id="7"/>
      <w:r>
        <w:rPr>
          <w:rFonts w:hint="eastAsia"/>
        </w:rPr>
        <w:t>登录</w:t>
      </w:r>
      <w:bookmarkEnd w:id="9"/>
      <w:bookmarkEnd w:id="10"/>
    </w:p>
    <w:p>
      <w:pPr>
        <w:pStyle w:val="31"/>
      </w:pPr>
      <w:r>
        <w:rPr>
          <w:rFonts w:hint="eastAsia"/>
        </w:rPr>
        <w:t>访问中燃集团电子招标采购交易网（</w:t>
      </w:r>
      <w:r>
        <w:t>https://zrzbcg.chinagasholdings.com/</w:t>
      </w:r>
      <w:r>
        <w:rPr>
          <w:rFonts w:hint="eastAsia"/>
        </w:rPr>
        <w:t>），从平台入口处选择【供应商登录】进入登录界面。</w:t>
      </w:r>
    </w:p>
    <w:p>
      <w:pPr>
        <w:ind w:firstLine="0" w:firstLineChars="0"/>
        <w:jc w:val="center"/>
      </w:pPr>
      <w:r>
        <w:drawing>
          <wp:inline distT="0" distB="0" distL="114300" distR="114300">
            <wp:extent cx="6402070" cy="4027170"/>
            <wp:effectExtent l="0" t="0" r="1397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6402070" cy="4027170"/>
                    </a:xfrm>
                    <a:prstGeom prst="rect">
                      <a:avLst/>
                    </a:prstGeom>
                    <a:noFill/>
                    <a:ln>
                      <a:noFill/>
                    </a:ln>
                  </pic:spPr>
                </pic:pic>
              </a:graphicData>
            </a:graphic>
          </wp:inline>
        </w:drawing>
      </w:r>
    </w:p>
    <w:p>
      <w:pPr>
        <w:pStyle w:val="31"/>
      </w:pPr>
      <w:r>
        <w:rPr>
          <w:rFonts w:hint="eastAsia"/>
        </w:rPr>
        <w:t>选择【供应商登录】登录入口后，选择【供应商</w:t>
      </w:r>
      <w:r>
        <w:rPr>
          <w:rFonts w:hint="eastAsia"/>
          <w:lang w:val="en-US" w:eastAsia="zh-CN"/>
        </w:rPr>
        <w:t>专区</w:t>
      </w:r>
      <w:r>
        <w:rPr>
          <w:rFonts w:hint="eastAsia"/>
        </w:rPr>
        <w:t>】插入机构数字证书通过口令验证进行登录。</w:t>
      </w:r>
    </w:p>
    <w:p>
      <w:pPr>
        <w:snapToGrid w:val="0"/>
        <w:ind w:firstLine="0" w:firstLineChars="0"/>
        <w:jc w:val="center"/>
      </w:pPr>
      <w:r>
        <w:drawing>
          <wp:inline distT="0" distB="0" distL="114300" distR="114300">
            <wp:extent cx="6401435" cy="2997200"/>
            <wp:effectExtent l="0" t="0" r="1460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7"/>
                    <a:stretch>
                      <a:fillRect/>
                    </a:stretch>
                  </pic:blipFill>
                  <pic:spPr>
                    <a:xfrm>
                      <a:off x="0" y="0"/>
                      <a:ext cx="6401435" cy="2997200"/>
                    </a:xfrm>
                    <a:prstGeom prst="rect">
                      <a:avLst/>
                    </a:prstGeom>
                    <a:noFill/>
                    <a:ln>
                      <a:noFill/>
                    </a:ln>
                  </pic:spPr>
                </pic:pic>
              </a:graphicData>
            </a:graphic>
          </wp:inline>
        </w:drawing>
      </w:r>
    </w:p>
    <w:p>
      <w:pPr>
        <w:pStyle w:val="2"/>
        <w:spacing w:before="328" w:after="164"/>
      </w:pPr>
      <w:bookmarkStart w:id="11" w:name="_Toc699"/>
      <w:bookmarkStart w:id="12" w:name="_Toc17757"/>
      <w:bookmarkStart w:id="13" w:name="_Toc1357"/>
      <w:bookmarkStart w:id="14" w:name="_Toc10386"/>
      <w:bookmarkStart w:id="15" w:name="_Toc29437"/>
      <w:bookmarkStart w:id="16" w:name="_Toc471168595"/>
      <w:bookmarkStart w:id="17" w:name="_Toc11271826"/>
      <w:r>
        <w:rPr>
          <w:rFonts w:hint="eastAsia"/>
        </w:rPr>
        <w:t>竞价采购业务（竞低价）操作</w:t>
      </w:r>
      <w:bookmarkEnd w:id="11"/>
      <w:bookmarkEnd w:id="12"/>
      <w:bookmarkEnd w:id="13"/>
      <w:bookmarkEnd w:id="14"/>
      <w:bookmarkEnd w:id="15"/>
      <w:bookmarkEnd w:id="16"/>
      <w:r>
        <w:rPr>
          <w:rFonts w:hint="eastAsia"/>
        </w:rPr>
        <w:t>步骤</w:t>
      </w:r>
      <w:bookmarkEnd w:id="17"/>
    </w:p>
    <w:p>
      <w:pPr>
        <w:ind w:firstLine="480"/>
        <w:rPr>
          <w:rFonts w:ascii="宋体" w:hAnsi="宋体" w:cs="宋体"/>
          <w:sz w:val="18"/>
          <w:szCs w:val="18"/>
        </w:rPr>
      </w:pPr>
      <w:r>
        <w:rPr>
          <w:rFonts w:hint="eastAsia"/>
        </w:rPr>
        <w:t>在【供应商专区】</w:t>
      </w:r>
      <w:r>
        <w:rPr>
          <w:rFonts w:hint="eastAsia" w:ascii="宋体" w:hAnsi="宋体" w:cs="宋体"/>
          <w:szCs w:val="24"/>
        </w:rPr>
        <w:t>-&gt;【竞价采购管理】-&gt;【竞价采购（竟低价）】</w:t>
      </w:r>
      <w:r>
        <w:rPr>
          <w:rFonts w:hint="eastAsia"/>
        </w:rPr>
        <w:t>模块中，供应商可进行竞价采购公告的查看、异议、交纳保证金、参与竞价、查看询价采购结果公示、查看结果通知、成交服务费的缴纳等操作。</w:t>
      </w:r>
    </w:p>
    <w:p>
      <w:pPr>
        <w:ind w:firstLine="0" w:firstLineChars="0"/>
        <w:rPr>
          <w:rFonts w:ascii="宋体" w:hAnsi="宋体" w:cs="宋体"/>
          <w:sz w:val="18"/>
          <w:szCs w:val="18"/>
        </w:rPr>
      </w:pPr>
      <w:r>
        <w:drawing>
          <wp:inline distT="0" distB="0" distL="0" distR="0">
            <wp:extent cx="6408420" cy="3449955"/>
            <wp:effectExtent l="9525" t="9525" r="13335" b="152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6408420" cy="3449955"/>
                    </a:xfrm>
                    <a:prstGeom prst="rect">
                      <a:avLst/>
                    </a:prstGeom>
                    <a:noFill/>
                    <a:ln w="9525">
                      <a:solidFill>
                        <a:schemeClr val="tx1"/>
                      </a:solidFill>
                      <a:miter/>
                    </a:ln>
                  </pic:spPr>
                </pic:pic>
              </a:graphicData>
            </a:graphic>
          </wp:inline>
        </w:drawing>
      </w:r>
    </w:p>
    <w:p>
      <w:pPr>
        <w:pStyle w:val="3"/>
        <w:spacing w:before="328" w:after="164"/>
      </w:pPr>
      <w:bookmarkStart w:id="18" w:name="_Toc11271827"/>
      <w:bookmarkStart w:id="19" w:name="_Toc471168596"/>
      <w:r>
        <w:rPr>
          <w:rFonts w:hint="eastAsia"/>
        </w:rPr>
        <w:t>竞价采购公告</w:t>
      </w:r>
      <w:bookmarkEnd w:id="18"/>
      <w:bookmarkEnd w:id="19"/>
    </w:p>
    <w:p>
      <w:pPr>
        <w:pStyle w:val="31"/>
      </w:pPr>
      <w:r>
        <w:rPr>
          <w:rFonts w:hint="eastAsia"/>
        </w:rPr>
        <w:t>点击左侧菜单栏【竞价采购公告】进入“竞价采购公告”列表页，选择要参与竞价的竞价采购项目，点击【查看】即可查看竞价采购公告具体内容，再点击我要竞价即可参与项目。</w:t>
      </w:r>
    </w:p>
    <w:p>
      <w:pPr>
        <w:ind w:firstLine="0" w:firstLineChars="0"/>
        <w:jc w:val="left"/>
      </w:pPr>
      <w:r>
        <w:drawing>
          <wp:inline distT="0" distB="0" distL="0" distR="0">
            <wp:extent cx="6408420" cy="2983230"/>
            <wp:effectExtent l="9525" t="9525" r="133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6408420" cy="2983230"/>
                    </a:xfrm>
                    <a:prstGeom prst="rect">
                      <a:avLst/>
                    </a:prstGeom>
                    <a:noFill/>
                    <a:ln w="9525">
                      <a:solidFill>
                        <a:schemeClr val="tx1"/>
                      </a:solidFill>
                      <a:miter/>
                    </a:ln>
                  </pic:spPr>
                </pic:pic>
              </a:graphicData>
            </a:graphic>
          </wp:inline>
        </w:drawing>
      </w:r>
    </w:p>
    <w:p>
      <w:pPr>
        <w:ind w:firstLine="0" w:firstLineChars="0"/>
        <w:jc w:val="center"/>
      </w:pPr>
      <w:r>
        <w:drawing>
          <wp:inline distT="0" distB="0" distL="0" distR="0">
            <wp:extent cx="6176645" cy="8877300"/>
            <wp:effectExtent l="9525" t="9525" r="16510" b="13335"/>
            <wp:docPr id="3" name="图片 3" descr="C:\Users\Administrator\Desktop\竞价采购\查看竞价公告详细内容.jpg查看竞价公告详细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竞价采购\查看竞价公告详细内容.jpg查看竞价公告详细内容"/>
                    <pic:cNvPicPr>
                      <a:picLocks noChangeAspect="1"/>
                    </pic:cNvPicPr>
                  </pic:nvPicPr>
                  <pic:blipFill>
                    <a:blip r:embed="rId20"/>
                    <a:srcRect/>
                    <a:stretch>
                      <a:fillRect/>
                    </a:stretch>
                  </pic:blipFill>
                  <pic:spPr>
                    <a:xfrm>
                      <a:off x="0" y="0"/>
                      <a:ext cx="6177280" cy="8877923"/>
                    </a:xfrm>
                    <a:prstGeom prst="rect">
                      <a:avLst/>
                    </a:prstGeom>
                    <a:ln>
                      <a:solidFill>
                        <a:schemeClr val="tx1"/>
                      </a:solidFill>
                    </a:ln>
                  </pic:spPr>
                </pic:pic>
              </a:graphicData>
            </a:graphic>
          </wp:inline>
        </w:drawing>
      </w:r>
    </w:p>
    <w:p>
      <w:pPr>
        <w:ind w:firstLine="480"/>
      </w:pPr>
      <w:r>
        <w:rPr>
          <w:rFonts w:hint="eastAsia"/>
        </w:rPr>
        <w:t>若竞价采购项目为邀请项目，供应商需在“查看竞价采购公告”页面中的“确认邀请函”，确认接受/拒绝采购人的邀请。</w:t>
      </w:r>
    </w:p>
    <w:p>
      <w:pPr>
        <w:ind w:firstLine="0" w:firstLineChars="0"/>
        <w:jc w:val="left"/>
      </w:pPr>
      <w:r>
        <w:rPr>
          <w:bdr w:val="single" w:color="auto" w:sz="4" w:space="0"/>
        </w:rPr>
        <w:drawing>
          <wp:inline distT="0" distB="0" distL="0" distR="0">
            <wp:extent cx="6356350" cy="2513965"/>
            <wp:effectExtent l="0" t="0" r="1397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a:stretch>
                      <a:fillRect/>
                    </a:stretch>
                  </pic:blipFill>
                  <pic:spPr>
                    <a:xfrm>
                      <a:off x="0" y="0"/>
                      <a:ext cx="6356909" cy="2514424"/>
                    </a:xfrm>
                    <a:prstGeom prst="rect">
                      <a:avLst/>
                    </a:prstGeom>
                  </pic:spPr>
                </pic:pic>
              </a:graphicData>
            </a:graphic>
          </wp:inline>
        </w:drawing>
      </w:r>
    </w:p>
    <w:p>
      <w:pPr>
        <w:ind w:firstLine="0" w:firstLineChars="0"/>
        <w:jc w:val="center"/>
      </w:pPr>
      <w:r>
        <w:drawing>
          <wp:inline distT="0" distB="0" distL="0" distR="0">
            <wp:extent cx="6330950" cy="1197610"/>
            <wp:effectExtent l="9525" t="9525" r="14605" b="12065"/>
            <wp:docPr id="8" name="图片 8" descr="C:\Users\Administrator\Desktop\确认邀请函.png确认邀请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确认邀请函.png确认邀请函"/>
                    <pic:cNvPicPr>
                      <a:picLocks noChangeAspect="1"/>
                    </pic:cNvPicPr>
                  </pic:nvPicPr>
                  <pic:blipFill>
                    <a:blip r:embed="rId22"/>
                    <a:srcRect/>
                    <a:stretch>
                      <a:fillRect/>
                    </a:stretch>
                  </pic:blipFill>
                  <pic:spPr>
                    <a:xfrm>
                      <a:off x="0" y="0"/>
                      <a:ext cx="6330950" cy="1197975"/>
                    </a:xfrm>
                    <a:prstGeom prst="rect">
                      <a:avLst/>
                    </a:prstGeom>
                    <a:ln>
                      <a:solidFill>
                        <a:schemeClr val="tx1"/>
                      </a:solidFill>
                    </a:ln>
                  </pic:spPr>
                </pic:pic>
              </a:graphicData>
            </a:graphic>
          </wp:inline>
        </w:drawing>
      </w:r>
    </w:p>
    <w:p>
      <w:pPr>
        <w:ind w:firstLine="422"/>
        <w:rPr>
          <w:sz w:val="18"/>
          <w:szCs w:val="18"/>
        </w:rPr>
      </w:pPr>
      <w:r>
        <w:rPr>
          <w:rFonts w:hint="eastAsia"/>
          <w:b/>
          <w:bCs/>
          <w:color w:val="FF0000"/>
          <w:sz w:val="21"/>
          <w:szCs w:val="21"/>
        </w:rPr>
        <w:t>注：</w:t>
      </w:r>
      <w:r>
        <w:rPr>
          <w:rFonts w:hint="eastAsia"/>
          <w:sz w:val="21"/>
          <w:szCs w:val="21"/>
        </w:rPr>
        <w:t>若接受邀请，可参与该项目的报价，需继续操作后续流程；若拒绝邀请，不参与该项目的报价，则无需操作后续流程。</w:t>
      </w:r>
    </w:p>
    <w:p>
      <w:pPr>
        <w:pStyle w:val="4"/>
        <w:numPr>
          <w:ilvl w:val="2"/>
          <w:numId w:val="2"/>
        </w:numPr>
        <w:spacing w:before="328" w:after="164"/>
      </w:pPr>
      <w:bookmarkStart w:id="20" w:name="_Toc11271828"/>
      <w:r>
        <w:rPr>
          <w:rFonts w:hint="eastAsia"/>
        </w:rPr>
        <w:t>竞价采购公告补遗</w:t>
      </w:r>
      <w:bookmarkEnd w:id="20"/>
    </w:p>
    <w:p>
      <w:pPr>
        <w:pStyle w:val="31"/>
      </w:pPr>
      <w:r>
        <w:rPr>
          <w:rFonts w:hint="eastAsia"/>
        </w:rPr>
        <w:t>点击左侧菜单栏【竞价采购公告补遗】进入“查看补遗”列表页，选择已发布补遗的竞价采购项目，点击【查看】进入“竞价采购补遗”页面。</w:t>
      </w:r>
    </w:p>
    <w:p>
      <w:pPr>
        <w:ind w:firstLine="0" w:firstLineChars="0"/>
      </w:pPr>
      <w:r>
        <w:drawing>
          <wp:inline distT="0" distB="0" distL="0" distR="0">
            <wp:extent cx="6408420" cy="2964815"/>
            <wp:effectExtent l="9525" t="9525" r="1333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6408420" cy="2964815"/>
                    </a:xfrm>
                    <a:prstGeom prst="rect">
                      <a:avLst/>
                    </a:prstGeom>
                    <a:ln>
                      <a:solidFill>
                        <a:schemeClr val="tx1"/>
                      </a:solidFill>
                    </a:ln>
                  </pic:spPr>
                </pic:pic>
              </a:graphicData>
            </a:graphic>
          </wp:inline>
        </w:drawing>
      </w:r>
    </w:p>
    <w:p>
      <w:pPr>
        <w:pStyle w:val="31"/>
      </w:pPr>
      <w:r>
        <w:rPr>
          <w:rFonts w:hint="eastAsia"/>
        </w:rPr>
        <w:t>在“竞价采购补遗”页面中，点击补遗标题列表中【查看】，即可查看补遗附件及具体补遗内容。</w:t>
      </w:r>
    </w:p>
    <w:p>
      <w:pPr>
        <w:ind w:firstLine="0" w:firstLineChars="0"/>
        <w:jc w:val="center"/>
      </w:pPr>
      <w:r>
        <w:drawing>
          <wp:inline distT="0" distB="0" distL="0" distR="0">
            <wp:extent cx="6350000" cy="1408430"/>
            <wp:effectExtent l="9525" t="9525" r="10795" b="14605"/>
            <wp:docPr id="22" name="图片 22" descr="C:\Users\Administrator\Desktop\竞价采购\查看补遗2.jpg查看补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竞价采购\查看补遗2.jpg查看补遗2"/>
                    <pic:cNvPicPr>
                      <a:picLocks noChangeAspect="1"/>
                    </pic:cNvPicPr>
                  </pic:nvPicPr>
                  <pic:blipFill>
                    <a:blip r:embed="rId24"/>
                    <a:srcRect/>
                    <a:stretch>
                      <a:fillRect/>
                    </a:stretch>
                  </pic:blipFill>
                  <pic:spPr>
                    <a:xfrm>
                      <a:off x="0" y="0"/>
                      <a:ext cx="6350000" cy="1408430"/>
                    </a:xfrm>
                    <a:prstGeom prst="rect">
                      <a:avLst/>
                    </a:prstGeom>
                    <a:ln>
                      <a:solidFill>
                        <a:schemeClr val="tx1"/>
                      </a:solidFill>
                    </a:ln>
                  </pic:spPr>
                </pic:pic>
              </a:graphicData>
            </a:graphic>
          </wp:inline>
        </w:drawing>
      </w:r>
    </w:p>
    <w:p>
      <w:pPr>
        <w:pStyle w:val="4"/>
        <w:spacing w:before="328" w:after="164"/>
      </w:pPr>
      <w:bookmarkStart w:id="21" w:name="_Toc25255"/>
      <w:bookmarkStart w:id="22" w:name="_Toc21862"/>
      <w:bookmarkStart w:id="23" w:name="_Toc4520"/>
      <w:bookmarkStart w:id="24" w:name="_Toc471168598"/>
      <w:bookmarkStart w:id="25" w:name="_Toc29110"/>
      <w:bookmarkStart w:id="26" w:name="_Toc17399"/>
      <w:bookmarkStart w:id="27" w:name="_Toc11271829"/>
      <w:r>
        <w:rPr>
          <w:rFonts w:hint="eastAsia"/>
        </w:rPr>
        <w:t>竞价采购公告</w:t>
      </w:r>
      <w:bookmarkEnd w:id="21"/>
      <w:bookmarkEnd w:id="22"/>
      <w:bookmarkEnd w:id="23"/>
      <w:bookmarkEnd w:id="24"/>
      <w:bookmarkEnd w:id="25"/>
      <w:bookmarkEnd w:id="26"/>
      <w:r>
        <w:rPr>
          <w:rFonts w:hint="eastAsia"/>
        </w:rPr>
        <w:t>异议</w:t>
      </w:r>
      <w:bookmarkEnd w:id="27"/>
    </w:p>
    <w:p>
      <w:pPr>
        <w:pStyle w:val="31"/>
      </w:pPr>
      <w:r>
        <w:rPr>
          <w:rFonts w:hint="eastAsia"/>
        </w:rPr>
        <w:t>添加异议</w:t>
      </w:r>
    </w:p>
    <w:p>
      <w:pPr>
        <w:pStyle w:val="32"/>
      </w:pPr>
      <w:r>
        <w:rPr>
          <w:rFonts w:hint="eastAsia"/>
        </w:rPr>
        <w:t>若供应商对竞价采购项目有疑问，点击左侧菜单栏【竞价采购异议】进入“竞价采购异议”列表页，选择要质疑的竞价采购项目，点击【异议】。</w:t>
      </w:r>
    </w:p>
    <w:p>
      <w:pPr>
        <w:ind w:firstLine="0" w:firstLineChars="0"/>
      </w:pPr>
      <w:r>
        <w:rPr>
          <w:bdr w:val="single" w:color="auto" w:sz="4" w:space="0"/>
        </w:rPr>
        <w:drawing>
          <wp:inline distT="0" distB="0" distL="0" distR="0">
            <wp:extent cx="6363970" cy="1951990"/>
            <wp:effectExtent l="0" t="0" r="635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6365185" cy="1952285"/>
                    </a:xfrm>
                    <a:prstGeom prst="rect">
                      <a:avLst/>
                    </a:prstGeom>
                  </pic:spPr>
                </pic:pic>
              </a:graphicData>
            </a:graphic>
          </wp:inline>
        </w:drawing>
      </w:r>
    </w:p>
    <w:p>
      <w:pPr>
        <w:pStyle w:val="32"/>
      </w:pPr>
      <w:r>
        <w:rPr>
          <w:rFonts w:hint="eastAsia"/>
        </w:rPr>
        <w:t>在“竞价采购异议”页面中，点击【添加异议】进入“添加异议信息”页面。</w:t>
      </w:r>
    </w:p>
    <w:p>
      <w:pPr>
        <w:ind w:firstLine="0" w:firstLineChars="0"/>
      </w:pPr>
      <w:r>
        <w:rPr>
          <w:bdr w:val="single" w:color="auto" w:sz="4" w:space="0"/>
        </w:rPr>
        <w:drawing>
          <wp:inline distT="0" distB="0" distL="0" distR="0">
            <wp:extent cx="6370955" cy="1798955"/>
            <wp:effectExtent l="0" t="0" r="14605" b="146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6371716" cy="1799590"/>
                    </a:xfrm>
                    <a:prstGeom prst="rect">
                      <a:avLst/>
                    </a:prstGeom>
                  </pic:spPr>
                </pic:pic>
              </a:graphicData>
            </a:graphic>
          </wp:inline>
        </w:drawing>
      </w:r>
    </w:p>
    <w:p>
      <w:pPr>
        <w:pStyle w:val="32"/>
      </w:pPr>
      <w:r>
        <w:rPr>
          <w:rFonts w:hint="eastAsia"/>
        </w:rPr>
        <w:t>在“添加异议信息”页面中，待质疑标题、质疑内容填写完成后，点击【提交异议】。</w:t>
      </w:r>
    </w:p>
    <w:p>
      <w:pPr>
        <w:ind w:firstLine="0" w:firstLineChars="0"/>
        <w:jc w:val="center"/>
      </w:pPr>
      <w:r>
        <w:rPr>
          <w:bdr w:val="single" w:color="auto" w:sz="4" w:space="0"/>
        </w:rPr>
        <w:drawing>
          <wp:inline distT="0" distB="0" distL="0" distR="0">
            <wp:extent cx="6115050" cy="2399030"/>
            <wp:effectExtent l="0" t="0" r="1143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6115050" cy="2399030"/>
                    </a:xfrm>
                    <a:prstGeom prst="rect">
                      <a:avLst/>
                    </a:prstGeom>
                  </pic:spPr>
                </pic:pic>
              </a:graphicData>
            </a:graphic>
          </wp:inline>
        </w:drawing>
      </w:r>
    </w:p>
    <w:p>
      <w:pPr>
        <w:pStyle w:val="31"/>
      </w:pPr>
      <w:r>
        <w:rPr>
          <w:rFonts w:hint="eastAsia"/>
        </w:rPr>
        <w:t>查看异议回复</w:t>
      </w:r>
    </w:p>
    <w:p>
      <w:pPr>
        <w:pStyle w:val="32"/>
      </w:pPr>
      <w:r>
        <w:rPr>
          <w:rFonts w:hint="eastAsia"/>
        </w:rPr>
        <w:t>若采购人对提出的异议内容回复后，“竞价采购异议”列表页中的【回复数】会记录回复总数，点击【异议】。</w:t>
      </w:r>
    </w:p>
    <w:p>
      <w:pPr>
        <w:ind w:firstLine="0" w:firstLineChars="0"/>
      </w:pPr>
      <w:r>
        <w:rPr>
          <w:bdr w:val="single" w:color="auto" w:sz="4" w:space="0"/>
        </w:rPr>
        <w:drawing>
          <wp:inline distT="0" distB="0" distL="0" distR="0">
            <wp:extent cx="6363970" cy="1951990"/>
            <wp:effectExtent l="0" t="0" r="635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5"/>
                    <a:stretch>
                      <a:fillRect/>
                    </a:stretch>
                  </pic:blipFill>
                  <pic:spPr>
                    <a:xfrm>
                      <a:off x="0" y="0"/>
                      <a:ext cx="6365185" cy="1952285"/>
                    </a:xfrm>
                    <a:prstGeom prst="rect">
                      <a:avLst/>
                    </a:prstGeom>
                  </pic:spPr>
                </pic:pic>
              </a:graphicData>
            </a:graphic>
          </wp:inline>
        </w:drawing>
      </w:r>
    </w:p>
    <w:p>
      <w:pPr>
        <w:pStyle w:val="32"/>
      </w:pPr>
      <w:r>
        <w:rPr>
          <w:rFonts w:hint="eastAsia"/>
        </w:rPr>
        <w:t>在“竞价采购异议”页面中，点击异议标题列表中的【查看】，即可查看采购人对该条异议作出的答疑回复内容。</w:t>
      </w:r>
    </w:p>
    <w:p>
      <w:pPr>
        <w:ind w:firstLine="0" w:firstLineChars="0"/>
        <w:jc w:val="left"/>
      </w:pPr>
      <w:r>
        <w:rPr>
          <w:bdr w:val="single" w:color="auto" w:sz="4" w:space="0"/>
        </w:rPr>
        <w:drawing>
          <wp:inline distT="0" distB="0" distL="0" distR="0">
            <wp:extent cx="6239510" cy="1536065"/>
            <wp:effectExtent l="0" t="0" r="889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a:stretch>
                      <a:fillRect/>
                    </a:stretch>
                  </pic:blipFill>
                  <pic:spPr>
                    <a:xfrm>
                      <a:off x="0" y="0"/>
                      <a:ext cx="6244509" cy="1537335"/>
                    </a:xfrm>
                    <a:prstGeom prst="rect">
                      <a:avLst/>
                    </a:prstGeom>
                  </pic:spPr>
                </pic:pic>
              </a:graphicData>
            </a:graphic>
          </wp:inline>
        </w:drawing>
      </w:r>
    </w:p>
    <w:p>
      <w:pPr>
        <w:pStyle w:val="4"/>
        <w:spacing w:before="328" w:after="164"/>
      </w:pPr>
      <w:bookmarkStart w:id="28" w:name="_Toc11271830"/>
      <w:bookmarkStart w:id="29" w:name="_Toc18472"/>
      <w:bookmarkStart w:id="30" w:name="_Toc19836"/>
      <w:bookmarkStart w:id="31" w:name="_Toc2002"/>
      <w:bookmarkStart w:id="32" w:name="_Toc11069"/>
      <w:bookmarkStart w:id="33" w:name="_Toc471168600"/>
      <w:bookmarkStart w:id="34" w:name="_Toc15514"/>
      <w:r>
        <w:rPr>
          <w:rFonts w:hint="eastAsia"/>
        </w:rPr>
        <w:t>提交保证金</w:t>
      </w:r>
      <w:bookmarkEnd w:id="28"/>
      <w:bookmarkEnd w:id="29"/>
      <w:bookmarkEnd w:id="30"/>
      <w:bookmarkEnd w:id="31"/>
      <w:bookmarkEnd w:id="32"/>
      <w:bookmarkEnd w:id="33"/>
      <w:bookmarkEnd w:id="34"/>
    </w:p>
    <w:p>
      <w:pPr>
        <w:pStyle w:val="31"/>
      </w:pPr>
      <w:r>
        <w:rPr>
          <w:rFonts w:hint="eastAsia"/>
        </w:rPr>
        <w:t>若供应商要参与竞价的竞价采购项目中，采购人要求缴纳保证金，点击左侧菜单栏【提交保证金】进入“提交保证金”列表页，选择对应项目，点击【缴纳】进入“缴纳保证金”详细页面。</w:t>
      </w:r>
    </w:p>
    <w:p>
      <w:pPr>
        <w:ind w:firstLine="0" w:firstLineChars="0"/>
        <w:jc w:val="left"/>
      </w:pPr>
      <w:r>
        <w:rPr>
          <w:bdr w:val="single" w:color="auto" w:sz="4" w:space="0"/>
        </w:rPr>
        <w:drawing>
          <wp:inline distT="0" distB="0" distL="0" distR="0">
            <wp:extent cx="6360795" cy="2258060"/>
            <wp:effectExtent l="0" t="0" r="9525"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9"/>
                    <a:stretch>
                      <a:fillRect/>
                    </a:stretch>
                  </pic:blipFill>
                  <pic:spPr>
                    <a:xfrm>
                      <a:off x="0" y="0"/>
                      <a:ext cx="6373255" cy="2262505"/>
                    </a:xfrm>
                    <a:prstGeom prst="rect">
                      <a:avLst/>
                    </a:prstGeom>
                  </pic:spPr>
                </pic:pic>
              </a:graphicData>
            </a:graphic>
          </wp:inline>
        </w:drawing>
      </w:r>
    </w:p>
    <w:p>
      <w:pPr>
        <w:pStyle w:val="31"/>
      </w:pPr>
      <w:r>
        <w:rPr>
          <w:rFonts w:hint="eastAsia"/>
        </w:rPr>
        <w:t>在“缴纳保证金”详细页面中，确认项目信息后，根据保证金金额和保证金账户信息，通过电汇或网银等方式缴纳保证金到指定账户，并上传缴纳凭证，完善供应商信息后，点击【保存并提交审核】。</w:t>
      </w:r>
    </w:p>
    <w:p>
      <w:pPr>
        <w:ind w:firstLine="0" w:firstLineChars="0"/>
        <w:jc w:val="center"/>
        <w:rPr>
          <w:rFonts w:ascii="宋体" w:hAnsi="宋体" w:cs="宋体"/>
          <w:szCs w:val="24"/>
        </w:rPr>
      </w:pPr>
      <w:r>
        <w:drawing>
          <wp:inline distT="0" distB="0" distL="0" distR="0">
            <wp:extent cx="5542280" cy="526605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542857" cy="5266667"/>
                    </a:xfrm>
                    <a:prstGeom prst="rect">
                      <a:avLst/>
                    </a:prstGeom>
                  </pic:spPr>
                </pic:pic>
              </a:graphicData>
            </a:graphic>
          </wp:inline>
        </w:drawing>
      </w:r>
    </w:p>
    <w:p>
      <w:pPr>
        <w:pStyle w:val="4"/>
        <w:spacing w:before="328" w:after="164"/>
      </w:pPr>
      <w:bookmarkStart w:id="35" w:name="_Toc11271831"/>
      <w:r>
        <w:rPr>
          <w:rFonts w:hint="eastAsia"/>
        </w:rPr>
        <w:t>参与竞价</w:t>
      </w:r>
      <w:bookmarkEnd w:id="35"/>
    </w:p>
    <w:p>
      <w:pPr>
        <w:ind w:firstLine="480"/>
      </w:pPr>
      <w:r>
        <w:rPr>
          <w:rFonts w:hint="eastAsia"/>
        </w:rPr>
        <w:t>竞价开始时间之后，供应商开始报价；竞价结束后，可查看历史竞价情况。</w:t>
      </w:r>
    </w:p>
    <w:p>
      <w:pPr>
        <w:ind w:firstLine="480"/>
      </w:pPr>
      <w:r>
        <w:rPr>
          <w:rFonts w:hint="eastAsia"/>
        </w:rPr>
        <w:t>竞价方式和竞价类型不同，报价方式及查看的竞价内容也不同。</w:t>
      </w:r>
    </w:p>
    <w:p>
      <w:pPr>
        <w:pStyle w:val="31"/>
      </w:pPr>
      <w:r>
        <w:rPr>
          <w:rFonts w:hint="eastAsia"/>
        </w:rPr>
        <w:t>自由竞价（按包件）</w:t>
      </w:r>
    </w:p>
    <w:p>
      <w:pPr>
        <w:pStyle w:val="32"/>
      </w:pPr>
      <w:r>
        <w:rPr>
          <w:rFonts w:hint="eastAsia"/>
        </w:rPr>
        <w:t>点击左侧菜单栏【参与竞价】进入“竞价采购报价”列表页，选择要参与竞价的项目，点击【报价】进入“竞价采购报价”详细页面。</w:t>
      </w:r>
    </w:p>
    <w:p>
      <w:pPr>
        <w:ind w:firstLine="0" w:firstLineChars="0"/>
        <w:jc w:val="left"/>
      </w:pPr>
      <w:r>
        <w:drawing>
          <wp:inline distT="0" distB="0" distL="0" distR="0">
            <wp:extent cx="6408420" cy="2969895"/>
            <wp:effectExtent l="9525" t="9525" r="13335" b="228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6408420" cy="2969895"/>
                    </a:xfrm>
                    <a:prstGeom prst="rect">
                      <a:avLst/>
                    </a:prstGeom>
                    <a:ln>
                      <a:solidFill>
                        <a:schemeClr val="tx1"/>
                      </a:solidFill>
                    </a:ln>
                  </pic:spPr>
                </pic:pic>
              </a:graphicData>
            </a:graphic>
          </wp:inline>
        </w:drawing>
      </w:r>
    </w:p>
    <w:p>
      <w:pPr>
        <w:pStyle w:val="32"/>
      </w:pPr>
      <w:r>
        <w:rPr>
          <w:rFonts w:hint="eastAsia"/>
        </w:rPr>
        <w:t>在“竞价采购报价”详细页面中，输入报价，确认无误后，点击【报价】。</w:t>
      </w:r>
    </w:p>
    <w:p>
      <w:pPr>
        <w:ind w:firstLine="0" w:firstLineChars="0"/>
        <w:jc w:val="center"/>
      </w:pPr>
      <w:r>
        <w:rPr>
          <w:bdr w:val="single" w:color="auto" w:sz="4" w:space="0"/>
        </w:rPr>
        <w:drawing>
          <wp:inline distT="0" distB="0" distL="0" distR="0">
            <wp:extent cx="5486400" cy="24244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5486400" cy="2424430"/>
                    </a:xfrm>
                    <a:prstGeom prst="rect">
                      <a:avLst/>
                    </a:prstGeom>
                  </pic:spPr>
                </pic:pic>
              </a:graphicData>
            </a:graphic>
          </wp:inline>
        </w:drawing>
      </w:r>
    </w:p>
    <w:p>
      <w:pPr>
        <w:pStyle w:val="32"/>
      </w:pPr>
      <w:r>
        <w:rPr>
          <w:rFonts w:hint="eastAsia"/>
        </w:rPr>
        <w:t>待自由竞价时长截止后，系统自动进入限时竞价环节。在限时</w:t>
      </w:r>
      <w:r>
        <w:rPr>
          <w:rFonts w:hint="eastAsia"/>
        </w:rPr>
        <w:softHyphen/>
      </w:r>
      <w:r>
        <w:rPr>
          <w:rFonts w:hint="eastAsia"/>
        </w:rPr>
        <w:t>分钟倒计时之内，供应商提交报价。</w:t>
      </w:r>
    </w:p>
    <w:p>
      <w:pPr>
        <w:ind w:left="400" w:firstLine="0" w:firstLineChars="0"/>
        <w:rPr>
          <w:rFonts w:ascii="宋体" w:hAnsi="宋体" w:cs="宋体"/>
          <w:szCs w:val="24"/>
        </w:rPr>
      </w:pPr>
      <w:r>
        <w:rPr>
          <w:bdr w:val="single" w:color="auto" w:sz="4" w:space="0"/>
        </w:rPr>
        <w:drawing>
          <wp:inline distT="0" distB="0" distL="0" distR="0">
            <wp:extent cx="5486400" cy="2422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5486400" cy="2422525"/>
                    </a:xfrm>
                    <a:prstGeom prst="rect">
                      <a:avLst/>
                    </a:prstGeom>
                  </pic:spPr>
                </pic:pic>
              </a:graphicData>
            </a:graphic>
          </wp:inline>
        </w:drawing>
      </w:r>
    </w:p>
    <w:p>
      <w:pPr>
        <w:ind w:left="425" w:firstLine="0" w:firstLineChars="0"/>
        <w:jc w:val="left"/>
        <w:rPr>
          <w:b/>
          <w:bCs/>
          <w:color w:val="FF0000"/>
          <w:sz w:val="21"/>
          <w:szCs w:val="21"/>
        </w:rPr>
      </w:pPr>
      <w:r>
        <w:rPr>
          <w:rFonts w:hint="eastAsia"/>
          <w:b/>
          <w:bCs/>
          <w:color w:val="FF0000"/>
          <w:sz w:val="21"/>
          <w:szCs w:val="21"/>
        </w:rPr>
        <w:t>注：</w:t>
      </w:r>
    </w:p>
    <w:p>
      <w:pPr>
        <w:ind w:firstLine="480"/>
        <w:rPr>
          <w:rFonts w:hint="eastAsia"/>
        </w:rPr>
      </w:pPr>
      <w:r>
        <w:rPr>
          <w:rFonts w:hint="eastAsia"/>
        </w:rPr>
        <w:t>在竞价过程中，可查看其它供应商报价情况后，供应商进行多次报价，系统以最后一次成功确认的报价作为最终报价；</w:t>
      </w:r>
    </w:p>
    <w:p>
      <w:pPr>
        <w:ind w:firstLine="480"/>
      </w:pPr>
      <w:r>
        <w:rPr>
          <w:rFonts w:hint="eastAsia"/>
        </w:rPr>
        <w:t>报价过程中，供应商可实时看到自己的排名，可根据排名情况进行报价调整。</w:t>
      </w:r>
    </w:p>
    <w:p>
      <w:pPr>
        <w:ind w:firstLine="480"/>
      </w:pPr>
      <w:r>
        <w:rPr>
          <w:rFonts w:hint="eastAsia"/>
        </w:rPr>
        <w:t>竞价限时</w:t>
      </w:r>
      <w:r>
        <w:rPr>
          <w:rFonts w:hint="eastAsia"/>
        </w:rPr>
        <w:softHyphen/>
      </w:r>
      <w:r>
        <w:rPr>
          <w:rFonts w:hint="eastAsia"/>
        </w:rPr>
        <w:t>内，供应商可无限次报价，如有供应商报价，时间自动重置；限时内无人再次竞价，限时倒计时截止即确定竞价结果。</w:t>
      </w:r>
    </w:p>
    <w:p>
      <w:pPr>
        <w:ind w:firstLine="0" w:firstLineChars="0"/>
        <w:jc w:val="left"/>
      </w:pPr>
      <w:r>
        <w:drawing>
          <wp:inline distT="0" distB="0" distL="0" distR="0">
            <wp:extent cx="6336030" cy="2883535"/>
            <wp:effectExtent l="9525" t="9525" r="9525" b="17780"/>
            <wp:docPr id="17" name="图片 17" descr="C:\Users\Administrator\Desktop\自由竞价-按包件\供应商\供应商名称.png供应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自由竞价-按包件\供应商\供应商名称.png供应商名称"/>
                    <pic:cNvPicPr>
                      <a:picLocks noChangeAspect="1"/>
                    </pic:cNvPicPr>
                  </pic:nvPicPr>
                  <pic:blipFill>
                    <a:blip r:embed="rId34"/>
                    <a:srcRect/>
                    <a:stretch>
                      <a:fillRect/>
                    </a:stretch>
                  </pic:blipFill>
                  <pic:spPr>
                    <a:xfrm>
                      <a:off x="0" y="0"/>
                      <a:ext cx="6336030" cy="2883535"/>
                    </a:xfrm>
                    <a:prstGeom prst="rect">
                      <a:avLst/>
                    </a:prstGeom>
                    <a:ln>
                      <a:solidFill>
                        <a:schemeClr val="tx1"/>
                      </a:solidFill>
                    </a:ln>
                  </pic:spPr>
                </pic:pic>
              </a:graphicData>
            </a:graphic>
          </wp:inline>
        </w:drawing>
      </w:r>
    </w:p>
    <w:p>
      <w:pPr>
        <w:pStyle w:val="32"/>
      </w:pPr>
      <w:r>
        <w:rPr>
          <w:rFonts w:hint="eastAsia"/>
        </w:rPr>
        <w:t>竞价结束后，在“竞价采购报价”列表页中，找到对应项目，点击【查看】进入“竞价采购历史详情”详情页面。</w:t>
      </w:r>
    </w:p>
    <w:p>
      <w:pPr>
        <w:ind w:firstLine="0" w:firstLineChars="0"/>
      </w:pPr>
      <w:r>
        <w:drawing>
          <wp:inline distT="0" distB="0" distL="0" distR="0">
            <wp:extent cx="6370320" cy="3629025"/>
            <wp:effectExtent l="9525" t="9525" r="20955" b="19050"/>
            <wp:docPr id="20" name="图片 20" descr="C:\Users\Administrator\Desktop\供应商查看竞价.png供应商查看竞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供应商查看竞价.png供应商查看竞价"/>
                    <pic:cNvPicPr>
                      <a:picLocks noChangeAspect="1"/>
                    </pic:cNvPicPr>
                  </pic:nvPicPr>
                  <pic:blipFill>
                    <a:blip r:embed="rId35"/>
                    <a:srcRect/>
                    <a:stretch>
                      <a:fillRect/>
                    </a:stretch>
                  </pic:blipFill>
                  <pic:spPr>
                    <a:xfrm>
                      <a:off x="0" y="0"/>
                      <a:ext cx="6370320" cy="3629025"/>
                    </a:xfrm>
                    <a:prstGeom prst="rect">
                      <a:avLst/>
                    </a:prstGeom>
                    <a:ln>
                      <a:solidFill>
                        <a:schemeClr val="tx1"/>
                      </a:solidFill>
                    </a:ln>
                  </pic:spPr>
                </pic:pic>
              </a:graphicData>
            </a:graphic>
          </wp:inline>
        </w:drawing>
      </w:r>
    </w:p>
    <w:p>
      <w:pPr>
        <w:pStyle w:val="32"/>
      </w:pPr>
      <w:r>
        <w:rPr>
          <w:rFonts w:hint="eastAsia"/>
        </w:rPr>
        <w:t>在“竞价采购报价”详细页面中，可查看自己的报价记录，以及上传对应的报价文件（在价格谈判之前上传竞价文件）。</w:t>
      </w:r>
    </w:p>
    <w:p>
      <w:pPr>
        <w:ind w:firstLine="0" w:firstLineChars="0"/>
      </w:pPr>
      <w:r>
        <w:rPr>
          <w:bdr w:val="single" w:color="auto" w:sz="4" w:space="0"/>
        </w:rPr>
        <w:drawing>
          <wp:inline distT="0" distB="0" distL="0" distR="0">
            <wp:extent cx="5486400" cy="24263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486400" cy="2426335"/>
                    </a:xfrm>
                    <a:prstGeom prst="rect">
                      <a:avLst/>
                    </a:prstGeom>
                  </pic:spPr>
                </pic:pic>
              </a:graphicData>
            </a:graphic>
          </wp:inline>
        </w:drawing>
      </w:r>
    </w:p>
    <w:p>
      <w:pPr>
        <w:pStyle w:val="31"/>
      </w:pPr>
      <w:r>
        <w:rPr>
          <w:rFonts w:hint="eastAsia"/>
        </w:rPr>
        <w:t>自由竞价（按明细）</w:t>
      </w:r>
    </w:p>
    <w:p>
      <w:pPr>
        <w:pStyle w:val="32"/>
      </w:pPr>
      <w:r>
        <w:rPr>
          <w:rFonts w:hint="eastAsia"/>
        </w:rPr>
        <w:t>点击左侧菜单栏【参与竞价】进入“竞价采购报价”列表页，选择要参与竞价的项目，点击【报价】进入“竞价采购报价”详细页面。</w:t>
      </w:r>
    </w:p>
    <w:p>
      <w:pPr>
        <w:ind w:firstLine="0" w:firstLineChars="0"/>
        <w:jc w:val="center"/>
      </w:pPr>
      <w:r>
        <w:drawing>
          <wp:inline distT="0" distB="0" distL="0" distR="0">
            <wp:extent cx="6408420" cy="2969895"/>
            <wp:effectExtent l="9525" t="9525" r="13335" b="228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6408420" cy="2969895"/>
                    </a:xfrm>
                    <a:prstGeom prst="rect">
                      <a:avLst/>
                    </a:prstGeom>
                    <a:ln>
                      <a:solidFill>
                        <a:schemeClr val="tx1"/>
                      </a:solidFill>
                    </a:ln>
                  </pic:spPr>
                </pic:pic>
              </a:graphicData>
            </a:graphic>
          </wp:inline>
        </w:drawing>
      </w:r>
    </w:p>
    <w:p>
      <w:pPr>
        <w:pStyle w:val="32"/>
      </w:pPr>
      <w:r>
        <w:rPr>
          <w:rFonts w:hint="eastAsia"/>
        </w:rPr>
        <w:t>在“竞价采购报价”详细页面中，录入价格，确认无误后，点击【提交报价】/【提交所有报价】。</w:t>
      </w:r>
    </w:p>
    <w:p>
      <w:pPr>
        <w:ind w:firstLine="0" w:firstLineChars="0"/>
        <w:jc w:val="center"/>
      </w:pPr>
      <w:r>
        <w:drawing>
          <wp:inline distT="0" distB="0" distL="0" distR="0">
            <wp:extent cx="6247765" cy="2732405"/>
            <wp:effectExtent l="9525" t="9525" r="21590" b="16510"/>
            <wp:docPr id="18" name="图片 18" descr="C:\Users\Administrator\Desktop\竞价采购\自由竞价，按明细\供应商\自由竞价，按明细，供2.png自由竞价，按明细，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竞价采购\自由竞价，按明细\供应商\自由竞价，按明细，供2.png自由竞价，按明细，供2"/>
                    <pic:cNvPicPr>
                      <a:picLocks noChangeAspect="1"/>
                    </pic:cNvPicPr>
                  </pic:nvPicPr>
                  <pic:blipFill>
                    <a:blip r:embed="rId37"/>
                    <a:srcRect/>
                    <a:stretch>
                      <a:fillRect/>
                    </a:stretch>
                  </pic:blipFill>
                  <pic:spPr>
                    <a:xfrm>
                      <a:off x="0" y="0"/>
                      <a:ext cx="6247765" cy="2732405"/>
                    </a:xfrm>
                    <a:prstGeom prst="rect">
                      <a:avLst/>
                    </a:prstGeom>
                    <a:ln>
                      <a:solidFill>
                        <a:schemeClr val="tx1"/>
                      </a:solidFill>
                    </a:ln>
                  </pic:spPr>
                </pic:pic>
              </a:graphicData>
            </a:graphic>
          </wp:inline>
        </w:drawing>
      </w:r>
    </w:p>
    <w:p>
      <w:pPr>
        <w:ind w:left="425" w:firstLine="0" w:firstLineChars="0"/>
        <w:jc w:val="left"/>
        <w:rPr>
          <w:b/>
          <w:bCs/>
          <w:color w:val="FF0000"/>
          <w:sz w:val="21"/>
          <w:szCs w:val="21"/>
        </w:rPr>
      </w:pPr>
      <w:r>
        <w:rPr>
          <w:rFonts w:hint="eastAsia"/>
          <w:b/>
          <w:bCs/>
          <w:color w:val="FF0000"/>
          <w:sz w:val="21"/>
          <w:szCs w:val="21"/>
        </w:rPr>
        <w:t>注：</w:t>
      </w:r>
    </w:p>
    <w:p>
      <w:pPr>
        <w:ind w:firstLine="480"/>
      </w:pPr>
      <w:r>
        <w:rPr>
          <w:rFonts w:hint="eastAsia"/>
        </w:rPr>
        <w:t>系统支持两种报价方式：</w:t>
      </w:r>
    </w:p>
    <w:p>
      <w:pPr>
        <w:ind w:firstLine="480"/>
      </w:pPr>
      <w:r>
        <w:rPr>
          <w:rFonts w:hint="eastAsia"/>
        </w:rPr>
        <w:t xml:space="preserve">    方式一：对单个明细报价，填写某个明细的单价，点击【提交报价】</w:t>
      </w:r>
    </w:p>
    <w:p>
      <w:pPr>
        <w:ind w:firstLine="480"/>
      </w:pPr>
      <w:r>
        <w:rPr>
          <w:rFonts w:hint="eastAsia"/>
        </w:rPr>
        <w:t xml:space="preserve">    方式二：对参与明细统一报价，填写所有要参与明细的单价，点击【提交所有报价】</w:t>
      </w:r>
    </w:p>
    <w:p>
      <w:pPr>
        <w:ind w:firstLine="480"/>
      </w:pPr>
      <w:r>
        <w:rPr>
          <w:rFonts w:hint="eastAsia"/>
        </w:rPr>
        <w:t>若采购人选择显示最低出价竞买者名称后，供应商可在“竞价采购报价”详细页面中查看到对应提示和当前报价最低的竞买者名称。</w:t>
      </w:r>
    </w:p>
    <w:p>
      <w:pPr>
        <w:ind w:firstLine="0" w:firstLineChars="0"/>
        <w:jc w:val="left"/>
      </w:pPr>
      <w:r>
        <w:drawing>
          <wp:inline distT="0" distB="0" distL="0" distR="0">
            <wp:extent cx="6336030" cy="2750820"/>
            <wp:effectExtent l="9525" t="9525" r="9525" b="13335"/>
            <wp:docPr id="25" name="图片 25" descr="C:\Users\Administrator\Desktop\竞价采购\自由竞价，按明细\供应商\自由竞价，按明细，供4.png自由竞价，按明细，供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竞价采购\自由竞价，按明细\供应商\自由竞价，按明细，供4.png自由竞价，按明细，供4"/>
                    <pic:cNvPicPr>
                      <a:picLocks noChangeAspect="1"/>
                    </pic:cNvPicPr>
                  </pic:nvPicPr>
                  <pic:blipFill>
                    <a:blip r:embed="rId38"/>
                    <a:srcRect/>
                    <a:stretch>
                      <a:fillRect/>
                    </a:stretch>
                  </pic:blipFill>
                  <pic:spPr>
                    <a:xfrm>
                      <a:off x="0" y="0"/>
                      <a:ext cx="6336030" cy="2750820"/>
                    </a:xfrm>
                    <a:prstGeom prst="rect">
                      <a:avLst/>
                    </a:prstGeom>
                    <a:ln>
                      <a:solidFill>
                        <a:schemeClr val="tx1"/>
                      </a:solidFill>
                    </a:ln>
                  </pic:spPr>
                </pic:pic>
              </a:graphicData>
            </a:graphic>
          </wp:inline>
        </w:drawing>
      </w:r>
    </w:p>
    <w:p>
      <w:pPr>
        <w:pStyle w:val="32"/>
      </w:pPr>
      <w:r>
        <w:rPr>
          <w:rFonts w:hint="eastAsia"/>
        </w:rPr>
        <w:t>竞价结束后，在“竞价采购报价”列表页中，找到对应项目，点击【查看】进入“竞价采购历史详情”详情页面后，可查看报价历史详情。</w:t>
      </w:r>
    </w:p>
    <w:p>
      <w:pPr>
        <w:ind w:firstLine="0" w:firstLineChars="0"/>
        <w:rPr>
          <w:rFonts w:ascii="宋体" w:hAnsi="宋体" w:cs="宋体"/>
          <w:szCs w:val="24"/>
        </w:rPr>
      </w:pPr>
      <w:r>
        <w:drawing>
          <wp:inline distT="0" distB="0" distL="0" distR="0">
            <wp:extent cx="6370320" cy="3629025"/>
            <wp:effectExtent l="9525" t="9525" r="20955" b="19050"/>
            <wp:docPr id="30" name="图片 30" descr="C:\Users\Administrator\Desktop\供应商查看竞价.png供应商查看竞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供应商查看竞价.png供应商查看竞价"/>
                    <pic:cNvPicPr>
                      <a:picLocks noChangeAspect="1"/>
                    </pic:cNvPicPr>
                  </pic:nvPicPr>
                  <pic:blipFill>
                    <a:blip r:embed="rId35"/>
                    <a:srcRect/>
                    <a:stretch>
                      <a:fillRect/>
                    </a:stretch>
                  </pic:blipFill>
                  <pic:spPr>
                    <a:xfrm>
                      <a:off x="0" y="0"/>
                      <a:ext cx="6370320" cy="3629025"/>
                    </a:xfrm>
                    <a:prstGeom prst="rect">
                      <a:avLst/>
                    </a:prstGeom>
                    <a:ln>
                      <a:solidFill>
                        <a:schemeClr val="tx1"/>
                      </a:solidFill>
                    </a:ln>
                  </pic:spPr>
                </pic:pic>
              </a:graphicData>
            </a:graphic>
          </wp:inline>
        </w:drawing>
      </w:r>
    </w:p>
    <w:p>
      <w:pPr>
        <w:ind w:firstLine="0" w:firstLineChars="0"/>
      </w:pPr>
      <w:r>
        <w:drawing>
          <wp:inline distT="0" distB="0" distL="0" distR="0">
            <wp:extent cx="6301105" cy="3397885"/>
            <wp:effectExtent l="9525" t="9525" r="13970" b="21590"/>
            <wp:docPr id="36" name="图片 36" descr="C:\Users\Administrator\Desktop\自由竞价，按明细，供，竞价结束2.png自由竞价，按明细，供，竞价结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自由竞价，按明细，供，竞价结束2.png自由竞价，按明细，供，竞价结束2"/>
                    <pic:cNvPicPr>
                      <a:picLocks noChangeAspect="1"/>
                    </pic:cNvPicPr>
                  </pic:nvPicPr>
                  <pic:blipFill>
                    <a:blip r:embed="rId39"/>
                    <a:srcRect/>
                    <a:stretch>
                      <a:fillRect/>
                    </a:stretch>
                  </pic:blipFill>
                  <pic:spPr>
                    <a:xfrm>
                      <a:off x="0" y="0"/>
                      <a:ext cx="6301105" cy="3397885"/>
                    </a:xfrm>
                    <a:prstGeom prst="rect">
                      <a:avLst/>
                    </a:prstGeom>
                    <a:ln>
                      <a:solidFill>
                        <a:schemeClr val="tx1"/>
                      </a:solidFill>
                    </a:ln>
                  </pic:spPr>
                </pic:pic>
              </a:graphicData>
            </a:graphic>
          </wp:inline>
        </w:drawing>
      </w:r>
    </w:p>
    <w:p>
      <w:pPr>
        <w:pStyle w:val="31"/>
      </w:pPr>
      <w:r>
        <w:rPr>
          <w:rFonts w:hint="eastAsia"/>
        </w:rPr>
        <w:t>单轮竞价（按包件）</w:t>
      </w:r>
    </w:p>
    <w:p>
      <w:pPr>
        <w:pStyle w:val="32"/>
      </w:pPr>
      <w:r>
        <w:rPr>
          <w:rFonts w:hint="eastAsia"/>
        </w:rPr>
        <w:t>点击左侧菜单栏【参与竞价】进入“竞价采购报价”列表页，选择要参与竞价的项目，点击【报价】进入“竞价采购报价”详细页面。</w:t>
      </w:r>
    </w:p>
    <w:p>
      <w:pPr>
        <w:ind w:firstLine="0" w:firstLineChars="0"/>
        <w:jc w:val="center"/>
      </w:pPr>
      <w:r>
        <w:drawing>
          <wp:inline distT="0" distB="0" distL="0" distR="0">
            <wp:extent cx="6408420" cy="2969895"/>
            <wp:effectExtent l="9525" t="9525" r="1333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a:stretch>
                      <a:fillRect/>
                    </a:stretch>
                  </pic:blipFill>
                  <pic:spPr>
                    <a:xfrm>
                      <a:off x="0" y="0"/>
                      <a:ext cx="6408420" cy="2969895"/>
                    </a:xfrm>
                    <a:prstGeom prst="rect">
                      <a:avLst/>
                    </a:prstGeom>
                    <a:ln>
                      <a:solidFill>
                        <a:schemeClr val="tx1"/>
                      </a:solidFill>
                    </a:ln>
                  </pic:spPr>
                </pic:pic>
              </a:graphicData>
            </a:graphic>
          </wp:inline>
        </w:drawing>
      </w:r>
    </w:p>
    <w:p>
      <w:pPr>
        <w:pStyle w:val="32"/>
      </w:pPr>
      <w:r>
        <w:rPr>
          <w:rFonts w:hint="eastAsia"/>
        </w:rPr>
        <w:t>在“竞价采购报价”详细页面中，录入价格，确认无误后，点击【报价】。</w:t>
      </w:r>
    </w:p>
    <w:p>
      <w:pPr>
        <w:ind w:firstLine="0" w:firstLineChars="0"/>
        <w:jc w:val="center"/>
      </w:pPr>
      <w:r>
        <w:drawing>
          <wp:inline distT="0" distB="0" distL="0" distR="0">
            <wp:extent cx="6068060" cy="2732405"/>
            <wp:effectExtent l="9525" t="9525" r="18415" b="16510"/>
            <wp:docPr id="40" name="图片 40" descr="C:\Users\Administrator\Desktop\单轮竞价，供2.png单轮竞价，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单轮竞价，供2.png单轮竞价，供2"/>
                    <pic:cNvPicPr>
                      <a:picLocks noChangeAspect="1"/>
                    </pic:cNvPicPr>
                  </pic:nvPicPr>
                  <pic:blipFill>
                    <a:blip r:embed="rId40"/>
                    <a:srcRect/>
                    <a:stretch>
                      <a:fillRect/>
                    </a:stretch>
                  </pic:blipFill>
                  <pic:spPr>
                    <a:xfrm>
                      <a:off x="0" y="0"/>
                      <a:ext cx="6068060" cy="2732405"/>
                    </a:xfrm>
                    <a:prstGeom prst="rect">
                      <a:avLst/>
                    </a:prstGeom>
                    <a:ln>
                      <a:solidFill>
                        <a:schemeClr val="tx1"/>
                      </a:solidFill>
                    </a:ln>
                  </pic:spPr>
                </pic:pic>
              </a:graphicData>
            </a:graphic>
          </wp:inline>
        </w:drawing>
      </w:r>
    </w:p>
    <w:p>
      <w:pPr>
        <w:pStyle w:val="32"/>
      </w:pPr>
      <w:r>
        <w:rPr>
          <w:rFonts w:hint="eastAsia"/>
        </w:rPr>
        <w:t>竞价结束后，在“竞价采购报价”列表页中，找到对应项目，点击【查看】进入“竞价采购历史详情”详情页面。</w:t>
      </w:r>
    </w:p>
    <w:p>
      <w:pPr>
        <w:ind w:firstLine="0" w:firstLineChars="0"/>
        <w:rPr>
          <w:rFonts w:ascii="宋体" w:hAnsi="宋体" w:cs="宋体"/>
          <w:szCs w:val="24"/>
        </w:rPr>
      </w:pPr>
      <w:r>
        <w:drawing>
          <wp:inline distT="0" distB="0" distL="0" distR="0">
            <wp:extent cx="6370320" cy="3629025"/>
            <wp:effectExtent l="9525" t="9525" r="20955" b="19050"/>
            <wp:docPr id="45" name="图片 45" descr="C:\Users\Administrator\Desktop\供应商查看竞价.png供应商查看竞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供应商查看竞价.png供应商查看竞价"/>
                    <pic:cNvPicPr>
                      <a:picLocks noChangeAspect="1"/>
                    </pic:cNvPicPr>
                  </pic:nvPicPr>
                  <pic:blipFill>
                    <a:blip r:embed="rId35"/>
                    <a:srcRect/>
                    <a:stretch>
                      <a:fillRect/>
                    </a:stretch>
                  </pic:blipFill>
                  <pic:spPr>
                    <a:xfrm>
                      <a:off x="0" y="0"/>
                      <a:ext cx="6370320" cy="3629025"/>
                    </a:xfrm>
                    <a:prstGeom prst="rect">
                      <a:avLst/>
                    </a:prstGeom>
                    <a:ln>
                      <a:solidFill>
                        <a:schemeClr val="tx1"/>
                      </a:solidFill>
                    </a:ln>
                  </pic:spPr>
                </pic:pic>
              </a:graphicData>
            </a:graphic>
          </wp:inline>
        </w:drawing>
      </w:r>
    </w:p>
    <w:p>
      <w:pPr>
        <w:ind w:firstLine="0" w:firstLineChars="0"/>
      </w:pPr>
      <w:r>
        <w:drawing>
          <wp:inline distT="0" distB="0" distL="0" distR="0">
            <wp:extent cx="6301105" cy="2502535"/>
            <wp:effectExtent l="9525" t="9525" r="13970" b="17780"/>
            <wp:docPr id="47" name="图片 47" descr="C:\Users\Administrator\Desktop\单轮竞价，按包件，供应商查看.png单轮竞价，按包件，供应商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单轮竞价，按包件，供应商查看.png单轮竞价，按包件，供应商查看"/>
                    <pic:cNvPicPr>
                      <a:picLocks noChangeAspect="1"/>
                    </pic:cNvPicPr>
                  </pic:nvPicPr>
                  <pic:blipFill>
                    <a:blip r:embed="rId41"/>
                    <a:srcRect/>
                    <a:stretch>
                      <a:fillRect/>
                    </a:stretch>
                  </pic:blipFill>
                  <pic:spPr>
                    <a:xfrm>
                      <a:off x="0" y="0"/>
                      <a:ext cx="6301105" cy="2502535"/>
                    </a:xfrm>
                    <a:prstGeom prst="rect">
                      <a:avLst/>
                    </a:prstGeom>
                    <a:ln>
                      <a:solidFill>
                        <a:schemeClr val="tx1"/>
                      </a:solidFill>
                    </a:ln>
                  </pic:spPr>
                </pic:pic>
              </a:graphicData>
            </a:graphic>
          </wp:inline>
        </w:drawing>
      </w:r>
    </w:p>
    <w:p>
      <w:pPr>
        <w:pStyle w:val="31"/>
      </w:pPr>
      <w:r>
        <w:rPr>
          <w:rFonts w:hint="eastAsia"/>
        </w:rPr>
        <w:t>单轮竞价（按明细）</w:t>
      </w:r>
    </w:p>
    <w:p>
      <w:pPr>
        <w:pStyle w:val="32"/>
      </w:pPr>
      <w:r>
        <w:rPr>
          <w:rFonts w:hint="eastAsia"/>
        </w:rPr>
        <w:t>点击左侧菜单栏【参与竞价】进入“竞价采购报价”列表页，选择要参与竞价的项目，点击【报价】进入“竞价采购报价”详细页面。</w:t>
      </w:r>
    </w:p>
    <w:p>
      <w:pPr>
        <w:ind w:firstLine="0" w:firstLineChars="0"/>
        <w:jc w:val="center"/>
        <w:rPr>
          <w:rFonts w:ascii="宋体" w:hAnsi="宋体" w:cs="宋体"/>
          <w:sz w:val="18"/>
          <w:szCs w:val="18"/>
        </w:rPr>
      </w:pPr>
      <w:r>
        <w:drawing>
          <wp:inline distT="0" distB="0" distL="0" distR="0">
            <wp:extent cx="6408420" cy="2969895"/>
            <wp:effectExtent l="9525" t="9525" r="13335" b="228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1"/>
                    <a:stretch>
                      <a:fillRect/>
                    </a:stretch>
                  </pic:blipFill>
                  <pic:spPr>
                    <a:xfrm>
                      <a:off x="0" y="0"/>
                      <a:ext cx="6408420" cy="2969895"/>
                    </a:xfrm>
                    <a:prstGeom prst="rect">
                      <a:avLst/>
                    </a:prstGeom>
                    <a:ln>
                      <a:solidFill>
                        <a:schemeClr val="tx1"/>
                      </a:solidFill>
                    </a:ln>
                  </pic:spPr>
                </pic:pic>
              </a:graphicData>
            </a:graphic>
          </wp:inline>
        </w:drawing>
      </w:r>
    </w:p>
    <w:p>
      <w:pPr>
        <w:pStyle w:val="32"/>
      </w:pPr>
      <w:r>
        <w:rPr>
          <w:rFonts w:hint="eastAsia"/>
        </w:rPr>
        <w:t>在“竞价采购报价”详细页面中，录入价格，确认无误后，点击【提交报价】/【提交所有报价】。</w:t>
      </w:r>
    </w:p>
    <w:p>
      <w:pPr>
        <w:ind w:firstLine="0" w:firstLineChars="0"/>
        <w:jc w:val="center"/>
      </w:pPr>
      <w:r>
        <w:drawing>
          <wp:inline distT="0" distB="0" distL="0" distR="0">
            <wp:extent cx="6247765" cy="2021840"/>
            <wp:effectExtent l="9525" t="9525" r="21590" b="10795"/>
            <wp:docPr id="49" name="图片 49" descr="C:\Users\Administrator\Desktop\单轮竞价，按明细，供3.png单轮竞价，按明细，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Desktop\单轮竞价，按明细，供3.png单轮竞价，按明细，供3"/>
                    <pic:cNvPicPr>
                      <a:picLocks noChangeAspect="1"/>
                    </pic:cNvPicPr>
                  </pic:nvPicPr>
                  <pic:blipFill>
                    <a:blip r:embed="rId42"/>
                    <a:srcRect/>
                    <a:stretch>
                      <a:fillRect/>
                    </a:stretch>
                  </pic:blipFill>
                  <pic:spPr>
                    <a:xfrm>
                      <a:off x="0" y="0"/>
                      <a:ext cx="6247765" cy="2021840"/>
                    </a:xfrm>
                    <a:prstGeom prst="rect">
                      <a:avLst/>
                    </a:prstGeom>
                    <a:ln>
                      <a:solidFill>
                        <a:schemeClr val="tx1"/>
                      </a:solidFill>
                    </a:ln>
                  </pic:spPr>
                </pic:pic>
              </a:graphicData>
            </a:graphic>
          </wp:inline>
        </w:drawing>
      </w:r>
    </w:p>
    <w:p>
      <w:pPr>
        <w:ind w:left="425" w:firstLine="0" w:firstLineChars="0"/>
        <w:jc w:val="left"/>
        <w:rPr>
          <w:b/>
          <w:bCs/>
          <w:color w:val="FF0000"/>
          <w:sz w:val="21"/>
          <w:szCs w:val="21"/>
        </w:rPr>
      </w:pPr>
      <w:r>
        <w:rPr>
          <w:rFonts w:hint="eastAsia"/>
          <w:b/>
          <w:bCs/>
          <w:color w:val="FF0000"/>
          <w:sz w:val="21"/>
          <w:szCs w:val="21"/>
        </w:rPr>
        <w:t>注：</w:t>
      </w:r>
    </w:p>
    <w:p>
      <w:pPr>
        <w:pStyle w:val="37"/>
        <w:ind w:firstLine="0" w:firstLineChars="0"/>
        <w:rPr>
          <w:sz w:val="21"/>
          <w:szCs w:val="21"/>
        </w:rPr>
      </w:pPr>
      <w:r>
        <w:rPr>
          <w:rFonts w:hint="eastAsia"/>
          <w:sz w:val="21"/>
          <w:szCs w:val="21"/>
        </w:rPr>
        <w:t xml:space="preserve">    系统支持两种报价方式：</w:t>
      </w:r>
    </w:p>
    <w:p>
      <w:pPr>
        <w:pStyle w:val="37"/>
        <w:ind w:left="480" w:leftChars="200" w:firstLine="0" w:firstLineChars="0"/>
        <w:rPr>
          <w:sz w:val="21"/>
          <w:szCs w:val="21"/>
        </w:rPr>
      </w:pPr>
      <w:r>
        <w:rPr>
          <w:rFonts w:hint="eastAsia"/>
          <w:sz w:val="21"/>
          <w:szCs w:val="21"/>
        </w:rPr>
        <w:t>方式一：对单个明细报价，填写某个明细的单价，点击【提交报价】</w:t>
      </w:r>
    </w:p>
    <w:p>
      <w:pPr>
        <w:pStyle w:val="37"/>
        <w:ind w:left="480" w:leftChars="200" w:firstLine="0" w:firstLineChars="0"/>
      </w:pPr>
      <w:r>
        <w:rPr>
          <w:rFonts w:hint="eastAsia"/>
          <w:sz w:val="21"/>
          <w:szCs w:val="21"/>
        </w:rPr>
        <w:t>方式二：对参与明细统一报价，填写所有要参与明细的单价，点击【提交所有报价】</w:t>
      </w:r>
    </w:p>
    <w:p>
      <w:pPr>
        <w:pStyle w:val="32"/>
      </w:pPr>
      <w:r>
        <w:rPr>
          <w:rFonts w:hint="eastAsia"/>
        </w:rPr>
        <w:t>竞价结束后，在“竞价采购报价”列表页中，找到对应项目，点击【查看】进入“竞价采购历史详情”详情页面。</w:t>
      </w:r>
    </w:p>
    <w:p>
      <w:pPr>
        <w:ind w:firstLine="0" w:firstLineChars="0"/>
        <w:rPr>
          <w:rFonts w:ascii="宋体" w:hAnsi="宋体" w:cs="宋体"/>
          <w:szCs w:val="24"/>
        </w:rPr>
      </w:pPr>
      <w:r>
        <w:drawing>
          <wp:inline distT="0" distB="0" distL="0" distR="0">
            <wp:extent cx="6370320" cy="3629025"/>
            <wp:effectExtent l="9525" t="9525" r="20955" b="19050"/>
            <wp:docPr id="53" name="图片 53" descr="C:\Users\Administrator\Desktop\供应商查看竞价.png供应商查看竞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供应商查看竞价.png供应商查看竞价"/>
                    <pic:cNvPicPr>
                      <a:picLocks noChangeAspect="1"/>
                    </pic:cNvPicPr>
                  </pic:nvPicPr>
                  <pic:blipFill>
                    <a:blip r:embed="rId35"/>
                    <a:srcRect/>
                    <a:stretch>
                      <a:fillRect/>
                    </a:stretch>
                  </pic:blipFill>
                  <pic:spPr>
                    <a:xfrm>
                      <a:off x="0" y="0"/>
                      <a:ext cx="6370320" cy="3629025"/>
                    </a:xfrm>
                    <a:prstGeom prst="rect">
                      <a:avLst/>
                    </a:prstGeom>
                    <a:ln>
                      <a:solidFill>
                        <a:schemeClr val="tx1"/>
                      </a:solidFill>
                    </a:ln>
                  </pic:spPr>
                </pic:pic>
              </a:graphicData>
            </a:graphic>
          </wp:inline>
        </w:drawing>
      </w:r>
    </w:p>
    <w:p>
      <w:pPr>
        <w:ind w:firstLine="0" w:firstLineChars="0"/>
      </w:pPr>
      <w:r>
        <w:drawing>
          <wp:inline distT="0" distB="0" distL="0" distR="0">
            <wp:extent cx="6301740" cy="2899410"/>
            <wp:effectExtent l="9525" t="9525" r="13335" b="17145"/>
            <wp:docPr id="54" name="图片 54" descr="C:\Users\Administrator\Desktop\单轮竞价，按明细供应商查看.png单轮竞价，按明细供应商查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单轮竞价，按明细供应商查看.png单轮竞价，按明细供应商查看"/>
                    <pic:cNvPicPr>
                      <a:picLocks noChangeAspect="1"/>
                    </pic:cNvPicPr>
                  </pic:nvPicPr>
                  <pic:blipFill>
                    <a:blip r:embed="rId43"/>
                    <a:srcRect/>
                    <a:stretch>
                      <a:fillRect/>
                    </a:stretch>
                  </pic:blipFill>
                  <pic:spPr>
                    <a:xfrm>
                      <a:off x="0" y="0"/>
                      <a:ext cx="6301740" cy="2899410"/>
                    </a:xfrm>
                    <a:prstGeom prst="rect">
                      <a:avLst/>
                    </a:prstGeom>
                    <a:ln>
                      <a:solidFill>
                        <a:schemeClr val="tx1"/>
                      </a:solidFill>
                    </a:ln>
                  </pic:spPr>
                </pic:pic>
              </a:graphicData>
            </a:graphic>
          </wp:inline>
        </w:drawing>
      </w:r>
    </w:p>
    <w:p>
      <w:pPr>
        <w:pStyle w:val="31"/>
      </w:pPr>
      <w:r>
        <w:rPr>
          <w:rFonts w:hint="eastAsia"/>
        </w:rPr>
        <w:t>多轮竞价</w:t>
      </w:r>
    </w:p>
    <w:p>
      <w:pPr>
        <w:pStyle w:val="32"/>
      </w:pPr>
      <w:r>
        <w:rPr>
          <w:rFonts w:hint="eastAsia"/>
        </w:rPr>
        <w:t>点击左侧菜单栏【参与竞价】进入“竞价采购报价”列表页，选择要参与竞价的项目，点击【报价】进入“竞价采购报价”详细页面。</w:t>
      </w:r>
    </w:p>
    <w:p>
      <w:pPr>
        <w:ind w:firstLine="0" w:firstLineChars="0"/>
        <w:jc w:val="center"/>
      </w:pPr>
      <w:r>
        <w:rPr>
          <w:bdr w:val="single" w:color="auto" w:sz="4" w:space="0"/>
        </w:rPr>
        <w:drawing>
          <wp:inline distT="0" distB="0" distL="0" distR="0">
            <wp:extent cx="6257290" cy="2482215"/>
            <wp:effectExtent l="0" t="0" r="6350" b="190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4"/>
                    <a:stretch>
                      <a:fillRect/>
                    </a:stretch>
                  </pic:blipFill>
                  <pic:spPr>
                    <a:xfrm>
                      <a:off x="0" y="0"/>
                      <a:ext cx="6257676" cy="2482791"/>
                    </a:xfrm>
                    <a:prstGeom prst="rect">
                      <a:avLst/>
                    </a:prstGeom>
                  </pic:spPr>
                </pic:pic>
              </a:graphicData>
            </a:graphic>
          </wp:inline>
        </w:drawing>
      </w:r>
    </w:p>
    <w:p>
      <w:pPr>
        <w:pStyle w:val="32"/>
      </w:pPr>
      <w:r>
        <w:rPr>
          <w:rFonts w:hint="eastAsia"/>
        </w:rPr>
        <w:t>在“竞价采购报价”详细页面中，竞价限时内输入价格，确认无误后，点击【提交】。</w:t>
      </w:r>
    </w:p>
    <w:p>
      <w:pPr>
        <w:ind w:firstLine="0" w:firstLineChars="0"/>
        <w:jc w:val="center"/>
      </w:pPr>
      <w:r>
        <w:drawing>
          <wp:inline distT="0" distB="0" distL="0" distR="0">
            <wp:extent cx="6132195" cy="5370195"/>
            <wp:effectExtent l="9525" t="9525" r="15240" b="15240"/>
            <wp:docPr id="62" name="图片 62" descr="C:\Users\Administrator\Desktop\2轮，供应商报价2.png2轮，供应商报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strator\Desktop\2轮，供应商报价2.png2轮，供应商报价2"/>
                    <pic:cNvPicPr>
                      <a:picLocks noChangeAspect="1"/>
                    </pic:cNvPicPr>
                  </pic:nvPicPr>
                  <pic:blipFill>
                    <a:blip r:embed="rId45"/>
                    <a:srcRect/>
                    <a:stretch>
                      <a:fillRect/>
                    </a:stretch>
                  </pic:blipFill>
                  <pic:spPr>
                    <a:xfrm>
                      <a:off x="0" y="0"/>
                      <a:ext cx="6132195" cy="5370195"/>
                    </a:xfrm>
                    <a:prstGeom prst="rect">
                      <a:avLst/>
                    </a:prstGeom>
                    <a:ln>
                      <a:solidFill>
                        <a:schemeClr val="tx1"/>
                      </a:solidFill>
                    </a:ln>
                  </pic:spPr>
                </pic:pic>
              </a:graphicData>
            </a:graphic>
          </wp:inline>
        </w:drawing>
      </w:r>
    </w:p>
    <w:p>
      <w:pPr>
        <w:ind w:firstLine="0" w:firstLineChars="0"/>
        <w:jc w:val="left"/>
        <w:rPr>
          <w:b/>
          <w:bCs/>
          <w:color w:val="FF0000"/>
          <w:sz w:val="21"/>
          <w:szCs w:val="21"/>
        </w:rPr>
      </w:pPr>
      <w:r>
        <w:drawing>
          <wp:inline distT="0" distB="0" distL="0" distR="0">
            <wp:extent cx="6408420" cy="2969895"/>
            <wp:effectExtent l="9525" t="9525" r="13335" b="228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6408420" cy="2969895"/>
                    </a:xfrm>
                    <a:prstGeom prst="rect">
                      <a:avLst/>
                    </a:prstGeom>
                    <a:ln>
                      <a:solidFill>
                        <a:schemeClr val="tx1"/>
                      </a:solidFill>
                    </a:ln>
                  </pic:spPr>
                </pic:pic>
              </a:graphicData>
            </a:graphic>
          </wp:inline>
        </w:drawing>
      </w:r>
    </w:p>
    <w:p>
      <w:pPr>
        <w:ind w:firstLine="0" w:firstLineChars="0"/>
      </w:pPr>
      <w:r>
        <w:rPr>
          <w:rFonts w:hint="eastAsia"/>
        </w:rPr>
        <w:t>注意：</w:t>
      </w:r>
    </w:p>
    <w:p>
      <w:pPr>
        <w:ind w:firstLine="0" w:firstLineChars="0"/>
      </w:pPr>
      <w:r>
        <w:rPr>
          <w:rFonts w:hint="eastAsia"/>
        </w:rPr>
        <w:t xml:space="preserve">    每轮报价截止时间后，系统自动公布当前最低报价。前一轮的最低报价作为后一轮的报价起始价，且供应商报价不得高于该轮的起始价。</w:t>
      </w:r>
    </w:p>
    <w:p>
      <w:pPr>
        <w:pStyle w:val="32"/>
      </w:pPr>
      <w:r>
        <w:rPr>
          <w:rFonts w:hint="eastAsia"/>
        </w:rPr>
        <w:t>竞价结束后，在“竞价采购报价”列表页中，找到对应项目，点击【查看】进入“竞价采购历史详情”详情页面。</w:t>
      </w:r>
    </w:p>
    <w:p>
      <w:pPr>
        <w:ind w:firstLine="0" w:firstLineChars="0"/>
      </w:pPr>
      <w:r>
        <w:drawing>
          <wp:inline distT="0" distB="0" distL="0" distR="0">
            <wp:extent cx="6370320" cy="3629025"/>
            <wp:effectExtent l="9525" t="9525" r="20955" b="19050"/>
            <wp:docPr id="63" name="图片 63" descr="C:\Users\Administrator\Desktop\供应商查看竞价.png供应商查看竞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strator\Desktop\供应商查看竞价.png供应商查看竞价"/>
                    <pic:cNvPicPr>
                      <a:picLocks noChangeAspect="1"/>
                    </pic:cNvPicPr>
                  </pic:nvPicPr>
                  <pic:blipFill>
                    <a:blip r:embed="rId35"/>
                    <a:srcRect/>
                    <a:stretch>
                      <a:fillRect/>
                    </a:stretch>
                  </pic:blipFill>
                  <pic:spPr>
                    <a:xfrm>
                      <a:off x="0" y="0"/>
                      <a:ext cx="6370320" cy="3629025"/>
                    </a:xfrm>
                    <a:prstGeom prst="rect">
                      <a:avLst/>
                    </a:prstGeom>
                    <a:ln>
                      <a:solidFill>
                        <a:schemeClr val="tx1"/>
                      </a:solidFill>
                    </a:ln>
                  </pic:spPr>
                </pic:pic>
              </a:graphicData>
            </a:graphic>
          </wp:inline>
        </w:drawing>
      </w:r>
    </w:p>
    <w:p>
      <w:pPr>
        <w:pStyle w:val="32"/>
      </w:pPr>
      <w:r>
        <w:rPr>
          <w:rFonts w:hint="eastAsia"/>
        </w:rPr>
        <w:t>在“竞价采购报价”详细页面中，可查看报价历史详情及竞买价格。</w:t>
      </w:r>
    </w:p>
    <w:p>
      <w:pPr>
        <w:pStyle w:val="4"/>
        <w:spacing w:before="328" w:after="164"/>
      </w:pPr>
      <w:bookmarkStart w:id="36" w:name="_Toc11271832"/>
      <w:bookmarkStart w:id="37" w:name="_Toc471168603"/>
      <w:r>
        <w:rPr>
          <w:rFonts w:hint="eastAsia"/>
        </w:rPr>
        <w:t>价格谈判</w:t>
      </w:r>
      <w:bookmarkEnd w:id="36"/>
      <w:bookmarkEnd w:id="37"/>
    </w:p>
    <w:p>
      <w:pPr>
        <w:ind w:firstLine="480"/>
      </w:pPr>
      <w:r>
        <w:rPr>
          <w:rFonts w:hint="eastAsia"/>
        </w:rPr>
        <w:t>若采购人发出价格谈判，供应商需在价格确认截止时间前给出答复。</w:t>
      </w:r>
    </w:p>
    <w:p>
      <w:pPr>
        <w:pStyle w:val="31"/>
      </w:pPr>
      <w:r>
        <w:rPr>
          <w:rFonts w:hint="eastAsia"/>
        </w:rPr>
        <w:t>点击左侧菜单栏【价格谈判】进入“价格谈判”列表页，选择要进行回复的竞价采购项目，点击【答复】进入“价格谈判”详细页面。</w:t>
      </w:r>
    </w:p>
    <w:p>
      <w:pPr>
        <w:ind w:firstLine="0" w:firstLineChars="0"/>
      </w:pPr>
      <w:r>
        <w:drawing>
          <wp:inline distT="0" distB="0" distL="0" distR="0">
            <wp:extent cx="6408420" cy="2473325"/>
            <wp:effectExtent l="9525" t="9525" r="13335" b="16510"/>
            <wp:docPr id="39" name="图片 39" descr="C:\Users\win2\Pictures\价格谈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win2\Pictures\价格谈判.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408420" cy="2473904"/>
                    </a:xfrm>
                    <a:prstGeom prst="rect">
                      <a:avLst/>
                    </a:prstGeom>
                    <a:ln>
                      <a:solidFill>
                        <a:schemeClr val="tx1"/>
                      </a:solidFill>
                    </a:ln>
                  </pic:spPr>
                </pic:pic>
              </a:graphicData>
            </a:graphic>
          </wp:inline>
        </w:drawing>
      </w:r>
    </w:p>
    <w:p>
      <w:pPr>
        <w:pStyle w:val="31"/>
      </w:pPr>
      <w:r>
        <w:rPr>
          <w:rFonts w:hint="eastAsia"/>
        </w:rPr>
        <w:t>在“价格谈判”详细页面中，供应商对谈判内容确认后，可点击【确认接受】/【拒绝】本次谈判。</w:t>
      </w:r>
    </w:p>
    <w:p>
      <w:pPr>
        <w:ind w:firstLine="0" w:firstLineChars="0"/>
        <w:jc w:val="center"/>
      </w:pPr>
      <w:r>
        <w:drawing>
          <wp:inline distT="0" distB="0" distL="0" distR="0">
            <wp:extent cx="6344285" cy="3974465"/>
            <wp:effectExtent l="9525" t="9525" r="16510" b="24130"/>
            <wp:docPr id="76" name="图片 76" descr="C:\Users\Administrator\Desktop\供应商谈判答复.png供应商谈判答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strator\Desktop\供应商谈判答复.png供应商谈判答复"/>
                    <pic:cNvPicPr>
                      <a:picLocks noChangeAspect="1"/>
                    </pic:cNvPicPr>
                  </pic:nvPicPr>
                  <pic:blipFill>
                    <a:blip r:embed="rId47"/>
                    <a:srcRect/>
                    <a:stretch>
                      <a:fillRect/>
                    </a:stretch>
                  </pic:blipFill>
                  <pic:spPr>
                    <a:xfrm>
                      <a:off x="0" y="0"/>
                      <a:ext cx="6344285" cy="3974630"/>
                    </a:xfrm>
                    <a:prstGeom prst="rect">
                      <a:avLst/>
                    </a:prstGeom>
                    <a:ln>
                      <a:solidFill>
                        <a:schemeClr val="tx1"/>
                      </a:solidFill>
                    </a:ln>
                  </pic:spPr>
                </pic:pic>
              </a:graphicData>
            </a:graphic>
          </wp:inline>
        </w:drawing>
      </w:r>
    </w:p>
    <w:p>
      <w:pPr>
        <w:pStyle w:val="4"/>
        <w:spacing w:before="328" w:after="164"/>
      </w:pPr>
      <w:bookmarkStart w:id="38" w:name="_Toc11271833"/>
      <w:bookmarkStart w:id="39" w:name="_Toc471168604"/>
      <w:r>
        <w:rPr>
          <w:rFonts w:hint="eastAsia"/>
        </w:rPr>
        <w:t>查看竞价采购结果</w:t>
      </w:r>
      <w:bookmarkEnd w:id="38"/>
      <w:bookmarkEnd w:id="39"/>
    </w:p>
    <w:p>
      <w:pPr>
        <w:ind w:firstLine="480"/>
      </w:pPr>
      <w:r>
        <w:rPr>
          <w:rFonts w:hint="eastAsia"/>
        </w:rPr>
        <w:t>若采购人发布竞价采购结果后，供应商可查看结果公示。</w:t>
      </w:r>
    </w:p>
    <w:p>
      <w:pPr>
        <w:pStyle w:val="31"/>
      </w:pPr>
      <w:r>
        <w:rPr>
          <w:rFonts w:hint="eastAsia"/>
        </w:rPr>
        <w:t>点击左侧菜单栏【查看竞价采购结果】进入“竞价采购结果”列表页，选择对应项目，点击【查看】进入“查看竞价采购结果”详细页面。</w:t>
      </w:r>
    </w:p>
    <w:p>
      <w:pPr>
        <w:ind w:firstLine="0" w:firstLineChars="0"/>
      </w:pPr>
      <w:r>
        <w:drawing>
          <wp:inline distT="0" distB="0" distL="0" distR="0">
            <wp:extent cx="6408420" cy="2790190"/>
            <wp:effectExtent l="9525" t="9525" r="13335" b="196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6408420" cy="2790190"/>
                    </a:xfrm>
                    <a:prstGeom prst="rect">
                      <a:avLst/>
                    </a:prstGeom>
                    <a:ln>
                      <a:solidFill>
                        <a:schemeClr val="tx1"/>
                      </a:solidFill>
                    </a:ln>
                  </pic:spPr>
                </pic:pic>
              </a:graphicData>
            </a:graphic>
          </wp:inline>
        </w:drawing>
      </w:r>
    </w:p>
    <w:p>
      <w:pPr>
        <w:ind w:firstLine="0" w:firstLineChars="0"/>
      </w:pPr>
      <w:r>
        <w:drawing>
          <wp:inline distT="0" distB="0" distL="0" distR="0">
            <wp:extent cx="6189345" cy="4813300"/>
            <wp:effectExtent l="9525" t="9525" r="19050" b="23495"/>
            <wp:docPr id="78" name="图片 78" descr="C:\Users\Administrator\Desktop\供应商查看结果1.png供应商查看结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strator\Desktop\供应商查看结果1.png供应商查看结果1"/>
                    <pic:cNvPicPr>
                      <a:picLocks noChangeAspect="1" noChangeArrowheads="1"/>
                    </pic:cNvPicPr>
                  </pic:nvPicPr>
                  <pic:blipFill>
                    <a:blip r:embed="rId49"/>
                    <a:srcRect/>
                    <a:stretch>
                      <a:fillRect/>
                    </a:stretch>
                  </pic:blipFill>
                  <pic:spPr>
                    <a:xfrm>
                      <a:off x="0" y="0"/>
                      <a:ext cx="6189345" cy="4813300"/>
                    </a:xfrm>
                    <a:prstGeom prst="rect">
                      <a:avLst/>
                    </a:prstGeom>
                    <a:noFill/>
                    <a:ln>
                      <a:solidFill>
                        <a:schemeClr val="tx1"/>
                      </a:solidFill>
                    </a:ln>
                  </pic:spPr>
                </pic:pic>
              </a:graphicData>
            </a:graphic>
          </wp:inline>
        </w:drawing>
      </w:r>
    </w:p>
    <w:p>
      <w:pPr>
        <w:pStyle w:val="4"/>
        <w:spacing w:before="328" w:after="164"/>
      </w:pPr>
      <w:bookmarkStart w:id="40" w:name="_Toc11271834"/>
      <w:bookmarkStart w:id="41" w:name="_Toc471168605"/>
      <w:r>
        <w:rPr>
          <w:rFonts w:hint="eastAsia"/>
        </w:rPr>
        <w:t>查看竞价采购结果通知</w:t>
      </w:r>
      <w:bookmarkEnd w:id="40"/>
      <w:bookmarkEnd w:id="41"/>
    </w:p>
    <w:p>
      <w:pPr>
        <w:ind w:firstLine="480"/>
      </w:pPr>
      <w:r>
        <w:rPr>
          <w:rFonts w:hint="eastAsia"/>
        </w:rPr>
        <w:t>若采购人发布结果通知（书）后，供应商可查看是否中选。</w:t>
      </w:r>
    </w:p>
    <w:p>
      <w:pPr>
        <w:ind w:firstLine="480"/>
      </w:pPr>
      <w:r>
        <w:rPr>
          <w:rFonts w:hint="eastAsia"/>
        </w:rPr>
        <w:t>竞价方式和竞价类型不同，所查看的结果通知内容也不同。</w:t>
      </w:r>
    </w:p>
    <w:p>
      <w:pPr>
        <w:pStyle w:val="31"/>
      </w:pPr>
      <w:r>
        <w:rPr>
          <w:rFonts w:hint="eastAsia"/>
        </w:rPr>
        <w:t>自由竞价（按包件）/单轮竞价（按包件）/多轮竞价</w:t>
      </w:r>
    </w:p>
    <w:p>
      <w:pPr>
        <w:pStyle w:val="32"/>
      </w:pPr>
      <w:r>
        <w:rPr>
          <w:rFonts w:hint="eastAsia"/>
        </w:rPr>
        <w:t>点击左侧菜单栏【查看竞价采购结果通知】进入“竞价采购结果通知”列表页，选择对应项目，如中选则操作列显示【打印】，点击【打印】进入“竞价结果通知（书）”详细页面。</w:t>
      </w:r>
    </w:p>
    <w:p>
      <w:pPr>
        <w:ind w:firstLine="0" w:firstLineChars="0"/>
        <w:jc w:val="left"/>
      </w:pPr>
      <w:r>
        <w:drawing>
          <wp:inline distT="0" distB="0" distL="0" distR="0">
            <wp:extent cx="6408420" cy="2865755"/>
            <wp:effectExtent l="9525" t="9525" r="13335" b="20320"/>
            <wp:docPr id="56" name="图片 56" descr="C:\Users\win2\AppData\Local\Temp\153408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win2\AppData\Local\Temp\153408083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408420" cy="2865954"/>
                    </a:xfrm>
                    <a:prstGeom prst="rect">
                      <a:avLst/>
                    </a:prstGeom>
                    <a:ln>
                      <a:solidFill>
                        <a:schemeClr val="tx1"/>
                      </a:solidFill>
                    </a:ln>
                  </pic:spPr>
                </pic:pic>
              </a:graphicData>
            </a:graphic>
          </wp:inline>
        </w:drawing>
      </w:r>
    </w:p>
    <w:p>
      <w:pPr>
        <w:pStyle w:val="32"/>
      </w:pPr>
      <w:r>
        <w:rPr>
          <w:rFonts w:hint="eastAsia"/>
        </w:rPr>
        <w:t>在“结果通知（书）”详细页面中，供应商可查看通知类型为：中选通知书或未中选通知书。</w:t>
      </w:r>
    </w:p>
    <w:p>
      <w:pPr>
        <w:ind w:firstLine="0" w:firstLineChars="0"/>
      </w:pPr>
      <w:r>
        <w:rPr>
          <w:rFonts w:hint="eastAsia"/>
        </w:rPr>
        <w:t xml:space="preserve">    </w:t>
      </w:r>
      <w:r>
        <w:rPr>
          <w:rFonts w:hint="eastAsia"/>
          <w:b/>
          <w:bCs/>
        </w:rPr>
        <w:t>通知类型一：中选通知书</w:t>
      </w:r>
    </w:p>
    <w:p>
      <w:pPr>
        <w:ind w:firstLine="480"/>
      </w:pPr>
      <w:r>
        <w:rPr>
          <w:rFonts w:hint="eastAsia"/>
        </w:rPr>
        <w:t>中选供应商【打印】中选通知书时，若中选通知书中要求与采购人签订合同，中选供应商需根据要求与采购人签订采购合同。</w:t>
      </w:r>
    </w:p>
    <w:p>
      <w:pPr>
        <w:ind w:firstLine="0" w:firstLineChars="0"/>
        <w:jc w:val="center"/>
      </w:pPr>
    </w:p>
    <w:p>
      <w:pPr>
        <w:ind w:firstLine="0" w:firstLineChars="0"/>
        <w:jc w:val="left"/>
        <w:rPr>
          <w:rFonts w:ascii="宋体" w:hAnsi="宋体" w:cs="宋体"/>
          <w:color w:val="FF0000"/>
          <w:szCs w:val="24"/>
        </w:rPr>
      </w:pPr>
      <w:r>
        <w:rPr>
          <w:rFonts w:hint="eastAsia" w:ascii="宋体" w:hAnsi="宋体" w:cs="宋体"/>
          <w:color w:val="FF0000"/>
          <w:szCs w:val="24"/>
        </w:rPr>
        <w:t>注：若选择供应商缴纳成交服务费，需缴纳完成交服务费才能打印中选通知书。</w:t>
      </w:r>
    </w:p>
    <w:p>
      <w:pPr>
        <w:ind w:firstLine="0" w:firstLineChars="0"/>
        <w:rPr>
          <w:b/>
          <w:bCs/>
        </w:rPr>
      </w:pPr>
      <w:r>
        <w:rPr>
          <w:rFonts w:hint="eastAsia"/>
          <w:b/>
          <w:bCs/>
        </w:rPr>
        <w:t>通知类型二：未中选通知书</w:t>
      </w:r>
    </w:p>
    <w:p>
      <w:pPr>
        <w:ind w:firstLine="0" w:firstLineChars="0"/>
        <w:rPr>
          <w:b/>
          <w:bCs/>
        </w:rPr>
      </w:pPr>
    </w:p>
    <w:p>
      <w:pPr>
        <w:pStyle w:val="31"/>
      </w:pPr>
      <w:r>
        <w:rPr>
          <w:rFonts w:hint="eastAsia"/>
        </w:rPr>
        <w:t>自由竞价-按明细/单轮竞价-按明细</w:t>
      </w:r>
    </w:p>
    <w:p>
      <w:pPr>
        <w:pStyle w:val="32"/>
      </w:pPr>
      <w:r>
        <w:rPr>
          <w:rFonts w:hint="eastAsia"/>
        </w:rPr>
        <w:t>点击左侧菜单栏【查看竞价采购结果通知】进入“竞价采购结果通知”列表页，选择对应项目，如中选则操作列显示【打印】，点击【打印】进入“竞价结果通知（书）”详细页面。</w:t>
      </w:r>
    </w:p>
    <w:p>
      <w:pPr>
        <w:ind w:firstLine="0" w:firstLineChars="0"/>
        <w:jc w:val="center"/>
        <w:rPr>
          <w:rFonts w:ascii="宋体" w:hAnsi="宋体" w:cs="宋体"/>
          <w:sz w:val="18"/>
          <w:szCs w:val="18"/>
        </w:rPr>
      </w:pPr>
      <w:r>
        <w:rPr>
          <w:rFonts w:ascii="宋体" w:hAnsi="宋体" w:cs="宋体"/>
          <w:sz w:val="18"/>
          <w:szCs w:val="18"/>
        </w:rPr>
        <w:drawing>
          <wp:inline distT="0" distB="0" distL="0" distR="0">
            <wp:extent cx="6408420" cy="2865755"/>
            <wp:effectExtent l="9525" t="9525" r="13335" b="20320"/>
            <wp:docPr id="58" name="图片 58" descr="C:\Users\win2\AppData\Local\Temp\153408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win2\AppData\Local\Temp\153408083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6408420" cy="2865954"/>
                    </a:xfrm>
                    <a:prstGeom prst="rect">
                      <a:avLst/>
                    </a:prstGeom>
                    <a:ln>
                      <a:solidFill>
                        <a:schemeClr val="tx1"/>
                      </a:solidFill>
                    </a:ln>
                  </pic:spPr>
                </pic:pic>
              </a:graphicData>
            </a:graphic>
          </wp:inline>
        </w:drawing>
      </w:r>
    </w:p>
    <w:p>
      <w:pPr>
        <w:ind w:firstLine="0" w:firstLineChars="0"/>
        <w:jc w:val="center"/>
      </w:pPr>
    </w:p>
    <w:p>
      <w:pPr>
        <w:ind w:firstLine="0" w:firstLineChars="0"/>
        <w:jc w:val="left"/>
        <w:rPr>
          <w:rFonts w:ascii="宋体" w:hAnsi="宋体" w:cs="宋体"/>
          <w:color w:val="FF0000"/>
          <w:szCs w:val="24"/>
        </w:rPr>
      </w:pPr>
      <w:r>
        <w:rPr>
          <w:rFonts w:hint="eastAsia" w:ascii="宋体" w:hAnsi="宋体" w:cs="宋体"/>
          <w:color w:val="FF0000"/>
          <w:szCs w:val="24"/>
        </w:rPr>
        <w:t>注：若选择供应商缴纳成交服务费，需缴纳完成交服务费才能打印中选通知书。</w:t>
      </w:r>
    </w:p>
    <w:p>
      <w:pPr>
        <w:pStyle w:val="4"/>
        <w:spacing w:before="328" w:after="164"/>
      </w:pPr>
      <w:bookmarkStart w:id="42" w:name="_Toc11271835"/>
      <w:r>
        <w:rPr>
          <w:rFonts w:hint="eastAsia"/>
        </w:rPr>
        <w:t>服务费缴纳</w:t>
      </w:r>
      <w:bookmarkEnd w:id="42"/>
    </w:p>
    <w:p>
      <w:pPr>
        <w:pStyle w:val="31"/>
      </w:pPr>
      <w:r>
        <w:rPr>
          <w:rFonts w:hint="eastAsia"/>
        </w:rPr>
        <w:t>缴纳服务费</w:t>
      </w:r>
    </w:p>
    <w:p>
      <w:pPr>
        <w:pStyle w:val="32"/>
      </w:pPr>
      <w:r>
        <w:t>点击左侧菜单栏【服务费缴纳</w:t>
      </w:r>
      <w:r>
        <w:rPr>
          <w:rFonts w:hint="eastAsia"/>
        </w:rPr>
        <w:t>】缴纳服务费列表页，点击【编辑】按钮进入缴纳详情页面。</w:t>
      </w:r>
    </w:p>
    <w:p>
      <w:pPr>
        <w:ind w:firstLine="0" w:firstLineChars="0"/>
      </w:pPr>
      <w:r>
        <w:drawing>
          <wp:inline distT="0" distB="0" distL="0" distR="0">
            <wp:extent cx="6408420" cy="3005455"/>
            <wp:effectExtent l="0" t="0" r="762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1"/>
                    <a:stretch>
                      <a:fillRect/>
                    </a:stretch>
                  </pic:blipFill>
                  <pic:spPr>
                    <a:xfrm>
                      <a:off x="0" y="0"/>
                      <a:ext cx="6408420" cy="3005455"/>
                    </a:xfrm>
                    <a:prstGeom prst="rect">
                      <a:avLst/>
                    </a:prstGeom>
                    <a:ln>
                      <a:solidFill>
                        <a:schemeClr val="tx1"/>
                      </a:solidFill>
                    </a:ln>
                  </pic:spPr>
                </pic:pic>
              </a:graphicData>
            </a:graphic>
          </wp:inline>
        </w:drawing>
      </w:r>
    </w:p>
    <w:p>
      <w:pPr>
        <w:ind w:firstLine="0" w:firstLineChars="0"/>
      </w:pPr>
    </w:p>
    <w:p>
      <w:pPr>
        <w:pStyle w:val="32"/>
      </w:pPr>
      <w:r>
        <w:rPr>
          <w:rFonts w:hint="eastAsia"/>
        </w:rPr>
        <w:t>进入页面后先填写发票信息，确认无误后点击【确认提交】进入缴费页面。</w:t>
      </w:r>
    </w:p>
    <w:p>
      <w:pPr>
        <w:ind w:firstLine="0" w:firstLineChars="0"/>
        <w:jc w:val="left"/>
      </w:pPr>
      <w:r>
        <w:drawing>
          <wp:inline distT="0" distB="0" distL="0" distR="0">
            <wp:extent cx="6408420" cy="4416425"/>
            <wp:effectExtent l="9525" t="9525" r="13335" b="2413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2"/>
                    <a:stretch>
                      <a:fillRect/>
                    </a:stretch>
                  </pic:blipFill>
                  <pic:spPr>
                    <a:xfrm>
                      <a:off x="0" y="0"/>
                      <a:ext cx="6408420" cy="4416425"/>
                    </a:xfrm>
                    <a:prstGeom prst="rect">
                      <a:avLst/>
                    </a:prstGeom>
                    <a:ln>
                      <a:solidFill>
                        <a:schemeClr val="tx1"/>
                      </a:solidFill>
                    </a:ln>
                  </pic:spPr>
                </pic:pic>
              </a:graphicData>
            </a:graphic>
          </wp:inline>
        </w:drawing>
      </w:r>
    </w:p>
    <w:p>
      <w:pPr>
        <w:pStyle w:val="32"/>
      </w:pPr>
      <w:r>
        <w:rPr>
          <w:rFonts w:hint="eastAsia"/>
        </w:rPr>
        <w:t>如应缴</w:t>
      </w:r>
      <w:r>
        <w:t>金额不超过</w:t>
      </w:r>
      <w:r>
        <w:rPr>
          <w:rFonts w:hint="eastAsia"/>
        </w:rPr>
        <w:t>1000，</w:t>
      </w:r>
      <w:r>
        <w:t>则</w:t>
      </w:r>
      <w:r>
        <w:rPr>
          <w:rFonts w:hint="eastAsia"/>
        </w:rPr>
        <w:t>只允许</w:t>
      </w:r>
      <w:r>
        <w:t>“</w:t>
      </w:r>
      <w:r>
        <w:rPr>
          <w:rFonts w:hint="eastAsia"/>
        </w:rPr>
        <w:t>支付宝</w:t>
      </w:r>
      <w:r>
        <w:t>”</w:t>
      </w:r>
      <w:r>
        <w:rPr>
          <w:rFonts w:hint="eastAsia"/>
        </w:rPr>
        <w:t>支付</w:t>
      </w:r>
      <w:r>
        <w:t>，点击</w:t>
      </w:r>
      <w:r>
        <w:rPr>
          <w:rFonts w:hint="eastAsia"/>
        </w:rPr>
        <w:t>【提交</w:t>
      </w:r>
      <w:r>
        <w:t>支付</w:t>
      </w:r>
      <w:r>
        <w:rPr>
          <w:rFonts w:hint="eastAsia"/>
        </w:rPr>
        <w:t>订单】</w:t>
      </w:r>
      <w:r>
        <w:t xml:space="preserve"> </w:t>
      </w:r>
      <w:r>
        <w:rPr>
          <w:rFonts w:hint="eastAsia"/>
        </w:rPr>
        <w:t>，跳转</w:t>
      </w:r>
      <w:r>
        <w:t>支付宝扫描页面</w:t>
      </w:r>
      <w:r>
        <w:rPr>
          <w:rFonts w:hint="eastAsia"/>
        </w:rPr>
        <w:t>，进行</w:t>
      </w:r>
      <w:r>
        <w:t>扫码支付</w:t>
      </w:r>
      <w:r>
        <w:rPr>
          <w:rFonts w:hint="eastAsia"/>
        </w:rPr>
        <w:t>。</w:t>
      </w:r>
    </w:p>
    <w:p>
      <w:pPr>
        <w:pStyle w:val="32"/>
      </w:pPr>
      <w:r>
        <w:rPr>
          <w:rFonts w:hint="eastAsia"/>
        </w:rPr>
        <w:t>当服务费大于1000时，只能使用网银转账的方式缴纳，通过网银方式缴纳服务费到指定账户，并上传缴纳凭证后，点击【保存并提交审核】，由财务工作人员审核通过后，即完成服务费缴纳操作，可打印中选结果通知并开具发票。服务费小于等于一万元开具电子发票，大于一万元开具纸质发票。</w:t>
      </w:r>
    </w:p>
    <w:p>
      <w:pPr>
        <w:pStyle w:val="31"/>
      </w:pPr>
      <w:r>
        <w:rPr>
          <w:rFonts w:hint="eastAsia"/>
        </w:rPr>
        <w:t>电子发票下载</w:t>
      </w:r>
    </w:p>
    <w:p>
      <w:pPr>
        <w:ind w:firstLine="0" w:firstLineChars="0"/>
        <w:jc w:val="left"/>
      </w:pPr>
      <w:r>
        <w:rPr>
          <w:rFonts w:hint="eastAsia"/>
        </w:rPr>
        <w:t>采购人缴纳完成交服务费，服务费审核通过后，将会开具发票。采购人可以在查看缴纳服务费界面查看发票开具状态和下载电子发票。</w:t>
      </w:r>
    </w:p>
    <w:p>
      <w:pPr>
        <w:ind w:firstLine="0" w:firstLineChars="0"/>
        <w:jc w:val="left"/>
      </w:pPr>
      <w:r>
        <w:drawing>
          <wp:inline distT="0" distB="0" distL="0" distR="0">
            <wp:extent cx="6408420" cy="3088005"/>
            <wp:effectExtent l="9525" t="9525" r="13335" b="1143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3"/>
                    <a:stretch>
                      <a:fillRect/>
                    </a:stretch>
                  </pic:blipFill>
                  <pic:spPr>
                    <a:xfrm>
                      <a:off x="0" y="0"/>
                      <a:ext cx="6408420" cy="3088005"/>
                    </a:xfrm>
                    <a:prstGeom prst="rect">
                      <a:avLst/>
                    </a:prstGeom>
                    <a:ln>
                      <a:solidFill>
                        <a:schemeClr val="tx1"/>
                      </a:solidFill>
                    </a:ln>
                  </pic:spPr>
                </pic:pic>
              </a:graphicData>
            </a:graphic>
          </wp:inline>
        </w:drawing>
      </w:r>
    </w:p>
    <w:p>
      <w:pPr>
        <w:ind w:firstLine="0" w:firstLineChars="0"/>
        <w:jc w:val="center"/>
        <w:rPr>
          <w:bdr w:val="single" w:color="auto" w:sz="4" w:space="0"/>
        </w:rPr>
      </w:pPr>
      <w:r>
        <w:drawing>
          <wp:inline distT="0" distB="0" distL="0" distR="0">
            <wp:extent cx="4953000" cy="4305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4"/>
                    <a:stretch>
                      <a:fillRect/>
                    </a:stretch>
                  </pic:blipFill>
                  <pic:spPr>
                    <a:xfrm>
                      <a:off x="0" y="0"/>
                      <a:ext cx="4953255" cy="4305521"/>
                    </a:xfrm>
                    <a:prstGeom prst="rect">
                      <a:avLst/>
                    </a:prstGeom>
                  </pic:spPr>
                </pic:pic>
              </a:graphicData>
            </a:graphic>
          </wp:inline>
        </w:drawing>
      </w:r>
    </w:p>
    <w:p>
      <w:pPr>
        <w:pStyle w:val="4"/>
        <w:spacing w:before="328" w:after="164"/>
      </w:pPr>
      <w:bookmarkStart w:id="43" w:name="_Toc11271836"/>
      <w:r>
        <w:rPr>
          <w:rFonts w:hint="eastAsia"/>
        </w:rPr>
        <w:t>项目异常</w:t>
      </w:r>
      <w:bookmarkEnd w:id="43"/>
    </w:p>
    <w:p>
      <w:pPr>
        <w:ind w:firstLine="420" w:firstLineChars="0"/>
      </w:pPr>
      <w:r>
        <w:t>采购</w:t>
      </w:r>
      <w:r>
        <w:rPr>
          <w:rFonts w:hint="eastAsia"/>
        </w:rPr>
        <w:t>人</w:t>
      </w:r>
      <w:r>
        <w:t>发</w:t>
      </w:r>
      <w:r>
        <w:rPr>
          <w:rFonts w:hint="eastAsia"/>
        </w:rPr>
        <w:t>布</w:t>
      </w:r>
      <w:r>
        <w:t>项目异常公告</w:t>
      </w:r>
      <w:r>
        <w:rPr>
          <w:rFonts w:hint="eastAsia"/>
        </w:rPr>
        <w:t>后</w:t>
      </w:r>
      <w:r>
        <w:t>，该项目</w:t>
      </w:r>
      <w:r>
        <w:rPr>
          <w:rFonts w:hint="eastAsia"/>
        </w:rPr>
        <w:t>的后续</w:t>
      </w:r>
      <w:r>
        <w:t>流程将暂停，</w:t>
      </w:r>
      <w:r>
        <w:rPr>
          <w:rFonts w:hint="eastAsia"/>
        </w:rPr>
        <w:t>甚至终止，</w:t>
      </w:r>
      <w:r>
        <w:t>无法继续</w:t>
      </w:r>
      <w:r>
        <w:rPr>
          <w:rFonts w:hint="eastAsia"/>
        </w:rPr>
        <w:t>后续流程</w:t>
      </w:r>
      <w:r>
        <w:t>。</w:t>
      </w:r>
    </w:p>
    <w:p>
      <w:pPr>
        <w:pStyle w:val="31"/>
      </w:pPr>
      <w:r>
        <w:rPr>
          <w:rFonts w:hint="eastAsia"/>
        </w:rPr>
        <w:t>采购项目异常</w:t>
      </w:r>
    </w:p>
    <w:p>
      <w:pPr>
        <w:ind w:firstLine="420" w:firstLineChars="0"/>
      </w:pPr>
      <w:r>
        <w:rPr>
          <w:rFonts w:hint="eastAsia"/>
        </w:rPr>
        <w:t>点击左侧菜单栏【</w:t>
      </w:r>
      <w:r>
        <w:rPr>
          <w:rFonts w:hint="eastAsia" w:ascii="宋体" w:hAnsi="宋体" w:cs="宋体"/>
          <w:szCs w:val="24"/>
        </w:rPr>
        <w:t>采购项目</w:t>
      </w:r>
      <w:r>
        <w:rPr>
          <w:rFonts w:hint="eastAsia"/>
        </w:rPr>
        <w:t>异常】进入“</w:t>
      </w:r>
      <w:r>
        <w:rPr>
          <w:rFonts w:hint="eastAsia" w:ascii="宋体" w:hAnsi="宋体" w:cs="宋体"/>
          <w:szCs w:val="24"/>
        </w:rPr>
        <w:t>采购项目</w:t>
      </w:r>
      <w:r>
        <w:rPr>
          <w:rFonts w:hint="eastAsia"/>
        </w:rPr>
        <w:t>异常”列表页，选择需要查看</w:t>
      </w:r>
      <w:r>
        <w:t>的项目异常公告</w:t>
      </w:r>
      <w:r>
        <w:rPr>
          <w:rFonts w:hint="eastAsia"/>
        </w:rPr>
        <w:t>，点击【查看】即可查看</w:t>
      </w:r>
      <w:r>
        <w:rPr>
          <w:rFonts w:hint="eastAsia" w:ascii="宋体" w:hAnsi="宋体" w:cs="宋体"/>
          <w:szCs w:val="24"/>
        </w:rPr>
        <w:t>项目</w:t>
      </w:r>
      <w:r>
        <w:rPr>
          <w:rFonts w:ascii="宋体" w:hAnsi="宋体" w:cs="宋体"/>
          <w:szCs w:val="24"/>
        </w:rPr>
        <w:t>异常公告</w:t>
      </w:r>
      <w:r>
        <w:rPr>
          <w:rFonts w:hint="eastAsia"/>
        </w:rPr>
        <w:t>具体内容。</w:t>
      </w:r>
    </w:p>
    <w:p>
      <w:pPr>
        <w:ind w:firstLine="420" w:firstLineChars="0"/>
      </w:pPr>
      <w:r>
        <w:drawing>
          <wp:inline distT="0" distB="0" distL="0" distR="0">
            <wp:extent cx="6408420" cy="3010535"/>
            <wp:effectExtent l="9525" t="9525" r="13335"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5"/>
                    <a:stretch>
                      <a:fillRect/>
                    </a:stretch>
                  </pic:blipFill>
                  <pic:spPr>
                    <a:xfrm>
                      <a:off x="0" y="0"/>
                      <a:ext cx="6408420" cy="3010535"/>
                    </a:xfrm>
                    <a:prstGeom prst="rect">
                      <a:avLst/>
                    </a:prstGeom>
                    <a:ln>
                      <a:solidFill>
                        <a:schemeClr val="tx1"/>
                      </a:solidFill>
                    </a:ln>
                  </pic:spPr>
                </pic:pic>
              </a:graphicData>
            </a:graphic>
          </wp:inline>
        </w:drawing>
      </w:r>
    </w:p>
    <w:p>
      <w:pPr>
        <w:ind w:firstLine="420" w:firstLineChars="0"/>
      </w:pPr>
      <w:r>
        <w:drawing>
          <wp:inline distT="0" distB="0" distL="0" distR="0">
            <wp:extent cx="6408420" cy="3019425"/>
            <wp:effectExtent l="9525" t="9525" r="13335" b="190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6"/>
                    <a:stretch>
                      <a:fillRect/>
                    </a:stretch>
                  </pic:blipFill>
                  <pic:spPr>
                    <a:xfrm>
                      <a:off x="0" y="0"/>
                      <a:ext cx="6408420" cy="3019425"/>
                    </a:xfrm>
                    <a:prstGeom prst="rect">
                      <a:avLst/>
                    </a:prstGeom>
                    <a:ln>
                      <a:solidFill>
                        <a:schemeClr val="tx1"/>
                      </a:solidFill>
                    </a:ln>
                  </pic:spPr>
                </pic:pic>
              </a:graphicData>
            </a:graphic>
          </wp:inline>
        </w:drawing>
      </w:r>
    </w:p>
    <w:p>
      <w:pPr>
        <w:pStyle w:val="31"/>
      </w:pPr>
      <w:r>
        <w:rPr>
          <w:rFonts w:hint="eastAsia"/>
        </w:rPr>
        <w:t>流标公告（响应供应商不足）</w:t>
      </w:r>
    </w:p>
    <w:p>
      <w:pPr>
        <w:ind w:firstLine="420" w:firstLineChars="0"/>
      </w:pPr>
      <w:r>
        <w:rPr>
          <w:rFonts w:hint="eastAsia"/>
        </w:rPr>
        <w:t>当</w:t>
      </w:r>
      <w:r>
        <w:t>项目</w:t>
      </w:r>
      <w:r>
        <w:rPr>
          <w:rFonts w:hint="eastAsia"/>
        </w:rPr>
        <w:t>截止</w:t>
      </w:r>
      <w:r>
        <w:t>报价后，有效报价家数不足时，</w:t>
      </w:r>
      <w:r>
        <w:rPr>
          <w:rFonts w:hint="eastAsia"/>
        </w:rPr>
        <w:t>系统</w:t>
      </w:r>
      <w:r>
        <w:t>将自动发布“</w:t>
      </w:r>
      <w:r>
        <w:rPr>
          <w:rFonts w:hint="eastAsia" w:ascii="宋体" w:hAnsi="宋体" w:cs="宋体"/>
          <w:szCs w:val="24"/>
        </w:rPr>
        <w:t>流标</w:t>
      </w:r>
      <w:r>
        <w:rPr>
          <w:rFonts w:ascii="宋体" w:hAnsi="宋体" w:cs="宋体"/>
          <w:szCs w:val="24"/>
        </w:rPr>
        <w:t>公告</w:t>
      </w:r>
      <w:r>
        <w:rPr>
          <w:rFonts w:hint="eastAsia" w:ascii="宋体" w:hAnsi="宋体" w:cs="宋体"/>
          <w:szCs w:val="24"/>
        </w:rPr>
        <w:t>（响应供应商不足）</w:t>
      </w:r>
      <w:r>
        <w:t>”</w:t>
      </w:r>
      <w:r>
        <w:rPr>
          <w:rFonts w:hint="eastAsia"/>
        </w:rPr>
        <w:t>，点击左侧菜单栏【</w:t>
      </w:r>
      <w:r>
        <w:rPr>
          <w:rFonts w:hint="eastAsia" w:ascii="宋体" w:hAnsi="宋体" w:cs="宋体"/>
          <w:szCs w:val="24"/>
        </w:rPr>
        <w:t>流标</w:t>
      </w:r>
      <w:r>
        <w:rPr>
          <w:rFonts w:ascii="宋体" w:hAnsi="宋体" w:cs="宋体"/>
          <w:szCs w:val="24"/>
        </w:rPr>
        <w:t>公告</w:t>
      </w:r>
      <w:r>
        <w:rPr>
          <w:rFonts w:hint="eastAsia" w:ascii="宋体" w:hAnsi="宋体" w:cs="宋体"/>
          <w:szCs w:val="24"/>
        </w:rPr>
        <w:t>（响应供应商不足）</w:t>
      </w:r>
      <w:r>
        <w:rPr>
          <w:rFonts w:hint="eastAsia"/>
        </w:rPr>
        <w:t>】进入“</w:t>
      </w:r>
      <w:r>
        <w:rPr>
          <w:rFonts w:hint="eastAsia" w:ascii="宋体" w:hAnsi="宋体" w:cs="宋体"/>
          <w:szCs w:val="24"/>
        </w:rPr>
        <w:t>流标</w:t>
      </w:r>
      <w:r>
        <w:rPr>
          <w:rFonts w:ascii="宋体" w:hAnsi="宋体" w:cs="宋体"/>
          <w:szCs w:val="24"/>
        </w:rPr>
        <w:t>公告</w:t>
      </w:r>
      <w:r>
        <w:rPr>
          <w:rFonts w:hint="eastAsia"/>
        </w:rPr>
        <w:t>”列表页，选择需要查看</w:t>
      </w:r>
      <w:r>
        <w:t>的</w:t>
      </w:r>
      <w:r>
        <w:rPr>
          <w:rFonts w:hint="eastAsia"/>
        </w:rPr>
        <w:t>流标</w:t>
      </w:r>
      <w:r>
        <w:t>公告</w:t>
      </w:r>
      <w:r>
        <w:rPr>
          <w:rFonts w:hint="eastAsia"/>
        </w:rPr>
        <w:t>，点击【查看】即可流标</w:t>
      </w:r>
      <w:r>
        <w:rPr>
          <w:rFonts w:ascii="宋体" w:hAnsi="宋体" w:cs="宋体"/>
          <w:szCs w:val="24"/>
        </w:rPr>
        <w:t>公告</w:t>
      </w:r>
      <w:r>
        <w:rPr>
          <w:rFonts w:hint="eastAsia"/>
        </w:rPr>
        <w:t>具体内容。</w:t>
      </w:r>
    </w:p>
    <w:p>
      <w:pPr>
        <w:ind w:firstLine="420" w:firstLineChars="0"/>
      </w:pPr>
      <w:r>
        <w:drawing>
          <wp:inline distT="0" distB="0" distL="0" distR="0">
            <wp:extent cx="6408420" cy="3212465"/>
            <wp:effectExtent l="9525" t="9525" r="13335" b="2413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6408420" cy="3212465"/>
                    </a:xfrm>
                    <a:prstGeom prst="rect">
                      <a:avLst/>
                    </a:prstGeom>
                    <a:ln>
                      <a:solidFill>
                        <a:schemeClr val="tx1"/>
                      </a:solidFill>
                    </a:ln>
                  </pic:spPr>
                </pic:pic>
              </a:graphicData>
            </a:graphic>
          </wp:inline>
        </w:drawing>
      </w:r>
    </w:p>
    <w:p>
      <w:pPr>
        <w:ind w:firstLine="420" w:firstLineChars="0"/>
      </w:pPr>
      <w:r>
        <w:drawing>
          <wp:inline distT="0" distB="0" distL="0" distR="0">
            <wp:extent cx="6408420" cy="3198495"/>
            <wp:effectExtent l="9525" t="9525" r="13335" b="2286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408420" cy="3198495"/>
                    </a:xfrm>
                    <a:prstGeom prst="rect">
                      <a:avLst/>
                    </a:prstGeom>
                    <a:ln>
                      <a:solidFill>
                        <a:schemeClr val="tx1"/>
                      </a:solidFill>
                    </a:ln>
                  </pic:spPr>
                </pic:pic>
              </a:graphicData>
            </a:graphic>
          </wp:inline>
        </w:drawing>
      </w:r>
    </w:p>
    <w:p>
      <w:pPr>
        <w:pStyle w:val="2"/>
        <w:spacing w:before="328" w:after="164"/>
      </w:pPr>
      <w:bookmarkStart w:id="44" w:name="_Toc11271837"/>
      <w:r>
        <w:rPr>
          <w:rFonts w:hint="eastAsia"/>
        </w:rPr>
        <w:t>联系我们</w:t>
      </w:r>
      <w:bookmarkEnd w:id="44"/>
    </w:p>
    <w:p>
      <w:pPr>
        <w:ind w:firstLine="480"/>
        <w:jc w:val="left"/>
      </w:pPr>
      <w:r>
        <w:rPr>
          <w:rFonts w:hint="eastAsia"/>
        </w:rPr>
        <w:t>技术支持：北京筑龙信息技术有限责任公司</w:t>
      </w:r>
    </w:p>
    <w:p>
      <w:pPr>
        <w:ind w:firstLine="480"/>
        <w:jc w:val="left"/>
      </w:pPr>
      <w:r>
        <w:rPr>
          <w:rFonts w:hint="eastAsia"/>
        </w:rPr>
        <w:t>客服电话：</w:t>
      </w:r>
      <w:r>
        <w:t xml:space="preserve">010-86392341 </w:t>
      </w:r>
      <w:bookmarkStart w:id="45" w:name="_GoBack"/>
      <w:bookmarkEnd w:id="45"/>
    </w:p>
    <w:p>
      <w:pPr>
        <w:widowControl/>
        <w:snapToGrid w:val="0"/>
        <w:ind w:firstLine="480"/>
        <w:jc w:val="left"/>
      </w:pPr>
    </w:p>
    <w:sectPr>
      <w:headerReference r:id="rId11" w:type="default"/>
      <w:footerReference r:id="rId13" w:type="default"/>
      <w:headerReference r:id="rId12" w:type="even"/>
      <w:footerReference r:id="rId14" w:type="even"/>
      <w:pgSz w:w="11906" w:h="16838"/>
      <w:pgMar w:top="1020" w:right="907" w:bottom="1020" w:left="907" w:header="851" w:footer="680" w:gutter="0"/>
      <w:pgNumType w:start="1"/>
      <w:cols w:space="0" w:num="1"/>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right"/>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ind w:firstLine="480"/>
                            <w:jc w:val="right"/>
                          </w:pPr>
                        </w:p>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tabs>
                        <w:tab w:val="center" w:pos="4153"/>
                        <w:tab w:val="right" w:pos="8306"/>
                      </w:tabs>
                      <w:ind w:firstLine="480"/>
                      <w:jc w:val="right"/>
                    </w:pPr>
                  </w:p>
                  <w:p>
                    <w:pPr>
                      <w:ind w:firstLine="48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7483717"/>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11</w:t>
        </w:r>
        <w:r>
          <w:fldChar w:fldCharType="end"/>
        </w:r>
      </w:p>
    </w:sdtContent>
  </w:sdt>
  <w:p>
    <w:pPr>
      <w:pStyle w:val="9"/>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30</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30</w:t>
                    </w:r>
                    <w:r>
                      <w:rPr>
                        <w:rFonts w:hint="eastAsia"/>
                        <w:sz w:val="18"/>
                      </w:rPr>
                      <w:fldChar w:fldCharType="end"/>
                    </w:r>
                    <w:r>
                      <w:rPr>
                        <w:rFonts w:hint="eastAsia"/>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9817AE"/>
    <w:multiLevelType w:val="multilevel"/>
    <w:tmpl w:val="039817AE"/>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pStyle w:val="4"/>
      <w:isLgl/>
      <w:suff w:val="space"/>
      <w:lvlText w:val="%1.%2.%3"/>
      <w:lvlJc w:val="left"/>
      <w:pPr>
        <w:ind w:left="0" w:firstLine="0"/>
      </w:pPr>
      <w:rPr>
        <w:rFonts w:hint="eastAsia"/>
      </w:rPr>
    </w:lvl>
    <w:lvl w:ilvl="3" w:tentative="0">
      <w:start w:val="1"/>
      <w:numFmt w:val="decimal"/>
      <w:pStyle w:val="31"/>
      <w:suff w:val="space"/>
      <w:lvlText w:val="（%4）"/>
      <w:lvlJc w:val="left"/>
      <w:pPr>
        <w:ind w:left="0" w:firstLine="0"/>
      </w:pPr>
      <w:rPr>
        <w:rFonts w:hint="eastAsia"/>
      </w:rPr>
    </w:lvl>
    <w:lvl w:ilvl="4" w:tentative="0">
      <w:start w:val="1"/>
      <w:numFmt w:val="lowerLetter"/>
      <w:pStyle w:val="32"/>
      <w:suff w:val="space"/>
      <w:lvlText w:val="%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A60AE6"/>
    <w:rsid w:val="00004871"/>
    <w:rsid w:val="00024F86"/>
    <w:rsid w:val="0007080A"/>
    <w:rsid w:val="000D3811"/>
    <w:rsid w:val="001018CB"/>
    <w:rsid w:val="001162BA"/>
    <w:rsid w:val="001B0389"/>
    <w:rsid w:val="001C2602"/>
    <w:rsid w:val="00233789"/>
    <w:rsid w:val="00236A50"/>
    <w:rsid w:val="00256FF6"/>
    <w:rsid w:val="002A4E95"/>
    <w:rsid w:val="002C1F68"/>
    <w:rsid w:val="002E062B"/>
    <w:rsid w:val="002E5663"/>
    <w:rsid w:val="003572F0"/>
    <w:rsid w:val="00365025"/>
    <w:rsid w:val="003C64A2"/>
    <w:rsid w:val="0041224D"/>
    <w:rsid w:val="004F7875"/>
    <w:rsid w:val="0055282D"/>
    <w:rsid w:val="00585C79"/>
    <w:rsid w:val="005F0198"/>
    <w:rsid w:val="00682B1F"/>
    <w:rsid w:val="006D5BC6"/>
    <w:rsid w:val="006F6958"/>
    <w:rsid w:val="007378DE"/>
    <w:rsid w:val="007B1D6F"/>
    <w:rsid w:val="007D0014"/>
    <w:rsid w:val="00825DEA"/>
    <w:rsid w:val="008474C6"/>
    <w:rsid w:val="00871B91"/>
    <w:rsid w:val="00902051"/>
    <w:rsid w:val="00944742"/>
    <w:rsid w:val="009A0807"/>
    <w:rsid w:val="00A0175E"/>
    <w:rsid w:val="00A60AE6"/>
    <w:rsid w:val="00A65B21"/>
    <w:rsid w:val="00AA4AF4"/>
    <w:rsid w:val="00B22808"/>
    <w:rsid w:val="00B46C60"/>
    <w:rsid w:val="00B628F0"/>
    <w:rsid w:val="00B8774F"/>
    <w:rsid w:val="00CB5EB8"/>
    <w:rsid w:val="00CE2AB7"/>
    <w:rsid w:val="00E015BE"/>
    <w:rsid w:val="00EE6985"/>
    <w:rsid w:val="00F10051"/>
    <w:rsid w:val="00F740E1"/>
    <w:rsid w:val="00FA1B11"/>
    <w:rsid w:val="00FC26E1"/>
    <w:rsid w:val="1C886096"/>
    <w:rsid w:val="32B815C4"/>
    <w:rsid w:val="3AA93FB6"/>
    <w:rsid w:val="3CCA7202"/>
    <w:rsid w:val="6BF77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link w:val="20"/>
    <w:qFormat/>
    <w:uiPriority w:val="9"/>
    <w:pPr>
      <w:numPr>
        <w:ilvl w:val="0"/>
      </w:numPr>
      <w:outlineLvl w:val="0"/>
    </w:pPr>
    <w:rPr>
      <w:sz w:val="36"/>
    </w:rPr>
  </w:style>
  <w:style w:type="paragraph" w:styleId="3">
    <w:name w:val="heading 2"/>
    <w:basedOn w:val="1"/>
    <w:next w:val="1"/>
    <w:link w:val="21"/>
    <w:unhideWhenUsed/>
    <w:qFormat/>
    <w:uiPriority w:val="9"/>
    <w:pPr>
      <w:keepNext/>
      <w:keepLines/>
      <w:numPr>
        <w:ilvl w:val="1"/>
        <w:numId w:val="1"/>
      </w:numPr>
      <w:spacing w:before="312" w:beforeLines="100" w:after="156" w:afterLines="50" w:line="240" w:lineRule="auto"/>
      <w:ind w:firstLineChars="0"/>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numPr>
        <w:ilvl w:val="2"/>
        <w:numId w:val="1"/>
      </w:numPr>
      <w:spacing w:before="100" w:beforeLines="100" w:after="50" w:afterLines="50" w:line="240" w:lineRule="auto"/>
      <w:ind w:firstLineChars="0"/>
      <w:outlineLvl w:val="2"/>
    </w:pPr>
    <w:rPr>
      <w:b/>
      <w:bCs/>
      <w:sz w:val="30"/>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35"/>
    <w:unhideWhenUsed/>
    <w:qFormat/>
    <w:uiPriority w:val="99"/>
    <w:pPr>
      <w:spacing w:line="240" w:lineRule="auto"/>
    </w:pPr>
    <w:rPr>
      <w:sz w:val="18"/>
      <w:szCs w:val="18"/>
    </w:rPr>
  </w:style>
  <w:style w:type="paragraph" w:styleId="9">
    <w:name w:val="footer"/>
    <w:basedOn w:val="1"/>
    <w:link w:val="38"/>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link w:val="27"/>
    <w:unhideWhenUsed/>
    <w:qFormat/>
    <w:uiPriority w:val="39"/>
    <w:pPr>
      <w:spacing w:before="120" w:after="120"/>
      <w:jc w:val="left"/>
    </w:pPr>
    <w:rPr>
      <w:rFonts w:cstheme="minorHAnsi"/>
      <w:b/>
      <w:bCs/>
      <w:caps/>
      <w:sz w:val="20"/>
      <w:szCs w:val="20"/>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paragraph" w:styleId="14">
    <w:name w:val="Title"/>
    <w:basedOn w:val="1"/>
    <w:next w:val="1"/>
    <w:link w:val="24"/>
    <w:qFormat/>
    <w:uiPriority w:val="10"/>
    <w:pPr>
      <w:spacing w:line="240" w:lineRule="auto"/>
      <w:ind w:firstLine="0" w:firstLineChars="0"/>
      <w:jc w:val="center"/>
      <w:outlineLvl w:val="0"/>
    </w:pPr>
    <w:rPr>
      <w:rFonts w:asciiTheme="majorHAnsi" w:hAnsiTheme="majorHAnsi" w:cstheme="majorBidi"/>
      <w:b/>
      <w:bCs/>
      <w:sz w:val="52"/>
      <w:szCs w:val="32"/>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uiPriority w:val="99"/>
    <w:rPr>
      <w:sz w:val="21"/>
      <w:szCs w:val="21"/>
    </w:rPr>
  </w:style>
  <w:style w:type="character" w:customStyle="1" w:styleId="20">
    <w:name w:val="标题 1 Char"/>
    <w:basedOn w:val="17"/>
    <w:link w:val="2"/>
    <w:qFormat/>
    <w:uiPriority w:val="9"/>
    <w:rPr>
      <w:rFonts w:eastAsia="宋体" w:asciiTheme="majorHAnsi" w:hAnsiTheme="majorHAnsi" w:cstheme="majorBidi"/>
      <w:b/>
      <w:bCs/>
      <w:sz w:val="36"/>
      <w:szCs w:val="32"/>
    </w:rPr>
  </w:style>
  <w:style w:type="character" w:customStyle="1" w:styleId="21">
    <w:name w:val="标题 2 Char"/>
    <w:basedOn w:val="17"/>
    <w:link w:val="3"/>
    <w:qFormat/>
    <w:uiPriority w:val="9"/>
    <w:rPr>
      <w:rFonts w:eastAsia="宋体" w:asciiTheme="majorHAnsi" w:hAnsiTheme="majorHAnsi" w:cstheme="majorBidi"/>
      <w:b/>
      <w:bCs/>
      <w:sz w:val="32"/>
      <w:szCs w:val="32"/>
    </w:rPr>
  </w:style>
  <w:style w:type="character" w:customStyle="1" w:styleId="22">
    <w:name w:val="标题 3 Char"/>
    <w:basedOn w:val="17"/>
    <w:link w:val="4"/>
    <w:qFormat/>
    <w:uiPriority w:val="9"/>
    <w:rPr>
      <w:rFonts w:eastAsia="宋体"/>
      <w:b/>
      <w:bCs/>
      <w:sz w:val="30"/>
      <w:szCs w:val="32"/>
    </w:rPr>
  </w:style>
  <w:style w:type="character" w:customStyle="1" w:styleId="23">
    <w:name w:val="标题 4 Char"/>
    <w:basedOn w:val="17"/>
    <w:link w:val="5"/>
    <w:semiHidden/>
    <w:qFormat/>
    <w:uiPriority w:val="9"/>
    <w:rPr>
      <w:rFonts w:asciiTheme="majorHAnsi" w:hAnsiTheme="majorHAnsi" w:eastAsiaTheme="majorEastAsia" w:cstheme="majorBidi"/>
      <w:b/>
      <w:bCs/>
      <w:sz w:val="28"/>
      <w:szCs w:val="28"/>
    </w:rPr>
  </w:style>
  <w:style w:type="character" w:customStyle="1" w:styleId="24">
    <w:name w:val="标题 Char"/>
    <w:basedOn w:val="17"/>
    <w:link w:val="14"/>
    <w:qFormat/>
    <w:uiPriority w:val="10"/>
    <w:rPr>
      <w:rFonts w:eastAsia="宋体" w:asciiTheme="majorHAnsi" w:hAnsiTheme="majorHAnsi" w:cstheme="majorBidi"/>
      <w:b/>
      <w:bCs/>
      <w:sz w:val="52"/>
      <w:szCs w:val="32"/>
    </w:rPr>
  </w:style>
  <w:style w:type="paragraph" w:customStyle="1" w:styleId="25">
    <w:name w:val="标题3"/>
    <w:basedOn w:val="11"/>
    <w:link w:val="28"/>
    <w:qFormat/>
    <w:uiPriority w:val="0"/>
    <w:pPr>
      <w:tabs>
        <w:tab w:val="right" w:leader="dot" w:pos="8296"/>
      </w:tabs>
      <w:spacing w:before="100" w:beforeLines="100" w:after="50" w:afterLines="50" w:line="240" w:lineRule="auto"/>
      <w:ind w:firstLine="0" w:firstLineChars="0"/>
    </w:pPr>
    <w:rPr>
      <w:sz w:val="30"/>
    </w:rPr>
  </w:style>
  <w:style w:type="character" w:customStyle="1" w:styleId="26">
    <w:name w:val="明显参考1"/>
    <w:basedOn w:val="17"/>
    <w:qFormat/>
    <w:uiPriority w:val="32"/>
    <w:rPr>
      <w:b/>
      <w:bCs/>
      <w:smallCaps/>
      <w:color w:val="4472C4" w:themeColor="accent1"/>
      <w:spacing w:val="5"/>
      <w14:textFill>
        <w14:solidFill>
          <w14:schemeClr w14:val="accent1"/>
        </w14:solidFill>
      </w14:textFill>
    </w:rPr>
  </w:style>
  <w:style w:type="character" w:customStyle="1" w:styleId="27">
    <w:name w:val="目录 1 Char"/>
    <w:basedOn w:val="17"/>
    <w:link w:val="11"/>
    <w:qFormat/>
    <w:uiPriority w:val="39"/>
    <w:rPr>
      <w:rFonts w:cstheme="minorHAnsi"/>
      <w:b/>
      <w:bCs/>
      <w:caps/>
      <w:sz w:val="20"/>
      <w:szCs w:val="20"/>
    </w:rPr>
  </w:style>
  <w:style w:type="character" w:customStyle="1" w:styleId="28">
    <w:name w:val="标题3 字符"/>
    <w:basedOn w:val="27"/>
    <w:link w:val="25"/>
    <w:qFormat/>
    <w:uiPriority w:val="0"/>
    <w:rPr>
      <w:rFonts w:eastAsia="宋体" w:cstheme="minorHAnsi"/>
      <w:sz w:val="30"/>
      <w:szCs w:val="20"/>
    </w:rPr>
  </w:style>
  <w:style w:type="character" w:customStyle="1" w:styleId="29">
    <w:name w:val="不明显强调1"/>
    <w:basedOn w:val="17"/>
    <w:qFormat/>
    <w:uiPriority w:val="19"/>
    <w:rPr>
      <w:i/>
      <w:iCs/>
      <w:color w:val="404040" w:themeColor="text1" w:themeTint="BF"/>
      <w14:textFill>
        <w14:solidFill>
          <w14:schemeClr w14:val="tx1">
            <w14:lumMod w14:val="75000"/>
            <w14:lumOff w14:val="25000"/>
          </w14:schemeClr>
        </w14:solidFill>
      </w14:textFill>
    </w:rPr>
  </w:style>
  <w:style w:type="paragraph" w:customStyle="1" w:styleId="30">
    <w:name w:val="无间隔1"/>
    <w:qFormat/>
    <w:uiPriority w:val="99"/>
    <w:pPr>
      <w:widowControl w:val="0"/>
      <w:jc w:val="both"/>
    </w:pPr>
    <w:rPr>
      <w:rFonts w:eastAsia="宋体" w:asciiTheme="minorHAnsi" w:hAnsiTheme="minorHAnsi" w:cstheme="minorBidi"/>
      <w:kern w:val="2"/>
      <w:sz w:val="21"/>
      <w:szCs w:val="22"/>
      <w:lang w:val="en-US" w:eastAsia="zh-CN" w:bidi="ar-SA"/>
    </w:rPr>
  </w:style>
  <w:style w:type="paragraph" w:customStyle="1" w:styleId="31">
    <w:name w:val="款"/>
    <w:basedOn w:val="1"/>
    <w:link w:val="33"/>
    <w:qFormat/>
    <w:uiPriority w:val="0"/>
    <w:pPr>
      <w:widowControl/>
      <w:numPr>
        <w:ilvl w:val="3"/>
        <w:numId w:val="1"/>
      </w:numPr>
      <w:ind w:firstLineChars="0"/>
      <w:jc w:val="left"/>
    </w:pPr>
  </w:style>
  <w:style w:type="paragraph" w:customStyle="1" w:styleId="32">
    <w:name w:val="项"/>
    <w:basedOn w:val="1"/>
    <w:link w:val="34"/>
    <w:qFormat/>
    <w:uiPriority w:val="0"/>
    <w:pPr>
      <w:widowControl/>
      <w:numPr>
        <w:ilvl w:val="4"/>
        <w:numId w:val="1"/>
      </w:numPr>
      <w:ind w:firstLineChars="0"/>
      <w:jc w:val="left"/>
    </w:pPr>
  </w:style>
  <w:style w:type="character" w:customStyle="1" w:styleId="33">
    <w:name w:val="款 字符"/>
    <w:basedOn w:val="17"/>
    <w:link w:val="31"/>
    <w:qFormat/>
    <w:uiPriority w:val="0"/>
    <w:rPr>
      <w:rFonts w:eastAsia="宋体"/>
      <w:sz w:val="24"/>
    </w:rPr>
  </w:style>
  <w:style w:type="character" w:customStyle="1" w:styleId="34">
    <w:name w:val="项 字符"/>
    <w:basedOn w:val="17"/>
    <w:link w:val="32"/>
    <w:qFormat/>
    <w:uiPriority w:val="0"/>
    <w:rPr>
      <w:rFonts w:eastAsia="宋体"/>
      <w:sz w:val="24"/>
    </w:rPr>
  </w:style>
  <w:style w:type="character" w:customStyle="1" w:styleId="35">
    <w:name w:val="批注框文本 Char"/>
    <w:basedOn w:val="17"/>
    <w:link w:val="8"/>
    <w:semiHidden/>
    <w:qFormat/>
    <w:uiPriority w:val="99"/>
    <w:rPr>
      <w:rFonts w:eastAsia="宋体"/>
      <w:sz w:val="18"/>
      <w:szCs w:val="18"/>
    </w:rPr>
  </w:style>
  <w:style w:type="paragraph" w:customStyle="1" w:styleId="36">
    <w:name w:val="无间隔11"/>
    <w:qFormat/>
    <w:uiPriority w:val="99"/>
    <w:pPr>
      <w:widowControl w:val="0"/>
      <w:spacing w:line="300" w:lineRule="auto"/>
      <w:ind w:firstLine="200" w:firstLineChars="200"/>
    </w:pPr>
    <w:rPr>
      <w:rFonts w:asciiTheme="minorHAnsi" w:hAnsiTheme="minorHAnsi" w:eastAsiaTheme="minorEastAsia" w:cstheme="minorBidi"/>
      <w:kern w:val="2"/>
      <w:sz w:val="24"/>
      <w:szCs w:val="22"/>
      <w:lang w:val="en-US" w:eastAsia="zh-CN" w:bidi="ar-SA"/>
    </w:rPr>
  </w:style>
  <w:style w:type="paragraph" w:customStyle="1" w:styleId="37">
    <w:name w:val="列出段落2"/>
    <w:basedOn w:val="1"/>
    <w:unhideWhenUsed/>
    <w:qFormat/>
    <w:uiPriority w:val="99"/>
    <w:pPr>
      <w:ind w:firstLine="420"/>
    </w:pPr>
  </w:style>
  <w:style w:type="character" w:customStyle="1" w:styleId="38">
    <w:name w:val="页脚 Char"/>
    <w:basedOn w:val="17"/>
    <w:link w:val="9"/>
    <w:qFormat/>
    <w:uiPriority w:val="99"/>
    <w:rPr>
      <w:rFonts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ED0A45-CB84-47AE-A06D-095ED30256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595</Words>
  <Characters>3392</Characters>
  <Lines>28</Lines>
  <Paragraphs>7</Paragraphs>
  <TotalTime>583</TotalTime>
  <ScaleCrop>false</ScaleCrop>
  <LinksUpToDate>false</LinksUpToDate>
  <CharactersWithSpaces>3980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2019-05-10T03:41:00Z</dcterms:created>
  <dc:creator>zhou c</dc:creator>
  <cp:lastModifiedBy>改变</cp:lastModifiedBy>
  <dcterms:modified xsi:type="dcterms:W3CDTF">2023-03-29T07:41:31Z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FD9AEA1FD5B14711A2C1ED06ECB0CA53_12</vt:lpwstr>
  </property>
</Properties>
</file>