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D7F82">
      <w:pPr>
        <w:rPr>
          <w:rFonts w:hint="eastAsia" w:ascii="华文细黑" w:hAnsi="华文细黑" w:eastAsia="华文细黑"/>
        </w:rPr>
      </w:pPr>
    </w:p>
    <w:p w14:paraId="7775889F">
      <w:pPr>
        <w:rPr>
          <w:rFonts w:hint="eastAsia" w:ascii="华文细黑" w:hAnsi="华文细黑" w:eastAsia="华文细黑"/>
        </w:rPr>
      </w:pPr>
    </w:p>
    <w:p w14:paraId="39B34C14">
      <w:pPr>
        <w:rPr>
          <w:rFonts w:hint="eastAsia" w:ascii="华文细黑" w:hAnsi="华文细黑" w:eastAsia="华文细黑"/>
        </w:rPr>
      </w:pPr>
    </w:p>
    <w:p w14:paraId="7851DA33">
      <w:pPr>
        <w:jc w:val="center"/>
        <w:rPr>
          <w:rFonts w:hint="eastAsia" w:ascii="宋体" w:hAnsi="宋体"/>
          <w:b/>
          <w:sz w:val="84"/>
          <w:szCs w:val="84"/>
        </w:rPr>
      </w:pPr>
      <w:r>
        <w:rPr>
          <w:rFonts w:hint="eastAsia" w:ascii="宋体" w:hAnsi="宋体"/>
          <w:b/>
          <w:sz w:val="84"/>
          <w:szCs w:val="84"/>
        </w:rPr>
        <w:t xml:space="preserve">采 </w:t>
      </w:r>
      <w:r>
        <w:rPr>
          <w:rFonts w:ascii="宋体" w:hAnsi="宋体"/>
          <w:b/>
          <w:sz w:val="84"/>
          <w:szCs w:val="84"/>
        </w:rPr>
        <w:t xml:space="preserve"> </w:t>
      </w:r>
      <w:r>
        <w:rPr>
          <w:rFonts w:hint="eastAsia" w:ascii="宋体" w:hAnsi="宋体"/>
          <w:b/>
          <w:sz w:val="84"/>
          <w:szCs w:val="84"/>
        </w:rPr>
        <w:t xml:space="preserve">购 </w:t>
      </w:r>
      <w:r>
        <w:rPr>
          <w:rFonts w:ascii="宋体" w:hAnsi="宋体"/>
          <w:b/>
          <w:sz w:val="84"/>
          <w:szCs w:val="84"/>
        </w:rPr>
        <w:t xml:space="preserve"> </w:t>
      </w:r>
      <w:r>
        <w:rPr>
          <w:rFonts w:hint="eastAsia" w:ascii="宋体" w:hAnsi="宋体"/>
          <w:b/>
          <w:sz w:val="84"/>
          <w:szCs w:val="84"/>
        </w:rPr>
        <w:t xml:space="preserve">文 </w:t>
      </w:r>
      <w:r>
        <w:rPr>
          <w:rFonts w:ascii="宋体" w:hAnsi="宋体"/>
          <w:b/>
          <w:sz w:val="84"/>
          <w:szCs w:val="84"/>
        </w:rPr>
        <w:t xml:space="preserve"> </w:t>
      </w:r>
      <w:r>
        <w:rPr>
          <w:rFonts w:hint="eastAsia" w:ascii="宋体" w:hAnsi="宋体"/>
          <w:b/>
          <w:sz w:val="84"/>
          <w:szCs w:val="84"/>
        </w:rPr>
        <w:t>件</w:t>
      </w:r>
    </w:p>
    <w:p w14:paraId="22787B11">
      <w:pPr>
        <w:ind w:firstLine="2380" w:firstLineChars="850"/>
        <w:rPr>
          <w:rFonts w:hint="eastAsia" w:ascii="华文细黑" w:hAnsi="华文细黑" w:eastAsia="华文细黑"/>
          <w:sz w:val="28"/>
          <w:szCs w:val="28"/>
        </w:rPr>
      </w:pPr>
    </w:p>
    <w:p w14:paraId="1480287B">
      <w:pPr>
        <w:ind w:firstLine="2380" w:firstLineChars="850"/>
        <w:rPr>
          <w:rFonts w:hint="eastAsia" w:ascii="华文细黑" w:hAnsi="华文细黑" w:eastAsia="华文细黑"/>
          <w:sz w:val="28"/>
          <w:szCs w:val="28"/>
        </w:rPr>
      </w:pPr>
    </w:p>
    <w:p w14:paraId="720AC96E">
      <w:pPr>
        <w:ind w:firstLine="1274" w:firstLineChars="423"/>
        <w:rPr>
          <w:rFonts w:hint="default" w:ascii="宋体" w:hAnsi="宋体" w:eastAsia="宋体"/>
          <w:b/>
          <w:sz w:val="30"/>
          <w:szCs w:val="30"/>
          <w:highlight w:val="yellow"/>
          <w:lang w:val="en-US" w:eastAsia="zh-CN"/>
        </w:rPr>
      </w:pPr>
      <w:r>
        <w:rPr>
          <w:rFonts w:hint="eastAsia" w:ascii="宋体" w:hAnsi="宋体"/>
          <w:b/>
          <w:sz w:val="30"/>
          <w:szCs w:val="30"/>
        </w:rPr>
        <w:t>项目</w:t>
      </w:r>
      <w:r>
        <w:rPr>
          <w:rFonts w:ascii="宋体" w:hAnsi="宋体"/>
          <w:b/>
          <w:sz w:val="30"/>
          <w:szCs w:val="30"/>
        </w:rPr>
        <w:t>名称：</w:t>
      </w:r>
      <w:r>
        <w:rPr>
          <w:rFonts w:hint="eastAsia" w:ascii="宋体" w:hAnsi="宋体"/>
          <w:b/>
          <w:sz w:val="30"/>
          <w:szCs w:val="30"/>
          <w:u w:val="single"/>
        </w:rPr>
        <w:t xml:space="preserve"> </w:t>
      </w:r>
      <w:r>
        <w:rPr>
          <w:rFonts w:hint="eastAsia" w:ascii="宋体" w:hAnsi="宋体"/>
          <w:b/>
          <w:sz w:val="30"/>
          <w:szCs w:val="30"/>
          <w:u w:val="single"/>
          <w:lang w:val="en-US" w:eastAsia="zh-CN"/>
        </w:rPr>
        <w:t>秦皇岛中燃采购超声波流量计招标竞价</w:t>
      </w:r>
    </w:p>
    <w:p w14:paraId="401E03DA">
      <w:pPr>
        <w:rPr>
          <w:rFonts w:hint="eastAsia" w:ascii="华文细黑" w:hAnsi="华文细黑" w:eastAsia="华文细黑"/>
          <w:sz w:val="28"/>
          <w:szCs w:val="28"/>
        </w:rPr>
      </w:pPr>
      <w:r>
        <w:rPr>
          <w:rFonts w:hint="eastAsia" w:ascii="华文细黑" w:hAnsi="华文细黑" w:eastAsia="华文细黑"/>
          <w:sz w:val="28"/>
          <w:szCs w:val="28"/>
        </w:rPr>
        <w:t xml:space="preserve">                 </w:t>
      </w:r>
    </w:p>
    <w:p w14:paraId="5D3A9E75">
      <w:pPr>
        <w:ind w:firstLine="1274" w:firstLineChars="423"/>
        <w:rPr>
          <w:rFonts w:hint="eastAsia" w:ascii="宋体" w:hAnsi="宋体"/>
          <w:b/>
          <w:sz w:val="30"/>
          <w:szCs w:val="30"/>
        </w:rPr>
      </w:pPr>
      <w:r>
        <w:rPr>
          <w:rFonts w:hint="eastAsia" w:ascii="宋体" w:hAnsi="宋体"/>
          <w:b/>
          <w:sz w:val="30"/>
          <w:szCs w:val="30"/>
        </w:rPr>
        <w:t>采购</w:t>
      </w:r>
      <w:r>
        <w:rPr>
          <w:rFonts w:ascii="宋体" w:hAnsi="宋体"/>
          <w:b/>
          <w:sz w:val="30"/>
          <w:szCs w:val="30"/>
        </w:rPr>
        <w:t>编号：</w:t>
      </w:r>
      <w:r>
        <w:rPr>
          <w:rFonts w:hint="eastAsia" w:ascii="宋体" w:hAnsi="宋体"/>
          <w:b/>
          <w:sz w:val="30"/>
          <w:szCs w:val="30"/>
          <w:u w:val="single"/>
        </w:rPr>
        <w:t xml:space="preserve"> NNZRZC(2025)12002         </w:t>
      </w:r>
      <w:r>
        <w:rPr>
          <w:rFonts w:hint="eastAsia" w:ascii="宋体" w:hAnsi="宋体"/>
          <w:b/>
          <w:sz w:val="30"/>
          <w:szCs w:val="30"/>
        </w:rPr>
        <w:t xml:space="preserve"> </w:t>
      </w:r>
    </w:p>
    <w:p w14:paraId="6FC1C8E1">
      <w:pPr>
        <w:spacing w:line="360" w:lineRule="auto"/>
        <w:ind w:firstLine="2439" w:firstLineChars="810"/>
        <w:rPr>
          <w:rFonts w:hint="eastAsia" w:ascii="宋体" w:hAnsi="宋体"/>
          <w:b/>
          <w:sz w:val="30"/>
          <w:szCs w:val="30"/>
        </w:rPr>
      </w:pPr>
    </w:p>
    <w:p w14:paraId="2EA11F7A">
      <w:pPr>
        <w:spacing w:line="360" w:lineRule="auto"/>
        <w:ind w:firstLine="1274" w:firstLineChars="423"/>
        <w:rPr>
          <w:rFonts w:hint="eastAsia" w:ascii="宋体" w:hAnsi="宋体"/>
          <w:b/>
          <w:sz w:val="30"/>
          <w:szCs w:val="30"/>
        </w:rPr>
      </w:pPr>
      <w:r>
        <w:rPr>
          <w:rFonts w:hint="eastAsia" w:ascii="宋体" w:hAnsi="宋体"/>
          <w:b/>
          <w:sz w:val="30"/>
          <w:szCs w:val="30"/>
        </w:rPr>
        <w:t>采购人：</w:t>
      </w:r>
      <w:r>
        <w:rPr>
          <w:rFonts w:hint="eastAsia" w:ascii="宋体" w:hAnsi="宋体"/>
          <w:b/>
          <w:sz w:val="30"/>
          <w:szCs w:val="30"/>
          <w:u w:val="single"/>
        </w:rPr>
        <w:t xml:space="preserve"> </w:t>
      </w:r>
      <w:r>
        <w:rPr>
          <w:rFonts w:hint="eastAsia" w:ascii="宋体" w:hAnsi="宋体"/>
          <w:b/>
          <w:sz w:val="30"/>
          <w:szCs w:val="30"/>
          <w:highlight w:val="none"/>
          <w:u w:val="single"/>
          <w:lang w:val="en-US" w:eastAsia="zh-CN"/>
        </w:rPr>
        <w:t>秦皇岛</w:t>
      </w:r>
      <w:r>
        <w:rPr>
          <w:rFonts w:hint="eastAsia" w:ascii="宋体" w:hAnsi="宋体"/>
          <w:b/>
          <w:sz w:val="30"/>
          <w:szCs w:val="30"/>
          <w:highlight w:val="none"/>
          <w:u w:val="single"/>
        </w:rPr>
        <w:t>中燃燃气有限公司</w:t>
      </w:r>
      <w:r>
        <w:rPr>
          <w:rFonts w:ascii="宋体" w:hAnsi="宋体"/>
          <w:b/>
          <w:sz w:val="30"/>
          <w:szCs w:val="30"/>
          <w:highlight w:val="none"/>
          <w:u w:val="single"/>
        </w:rPr>
        <w:t xml:space="preserve"> </w:t>
      </w:r>
    </w:p>
    <w:p w14:paraId="6960EE04">
      <w:pPr>
        <w:spacing w:line="360" w:lineRule="auto"/>
        <w:ind w:firstLine="2439" w:firstLineChars="810"/>
        <w:rPr>
          <w:rFonts w:hint="eastAsia" w:ascii="宋体" w:hAnsi="宋体"/>
          <w:b/>
          <w:sz w:val="30"/>
          <w:szCs w:val="30"/>
        </w:rPr>
      </w:pPr>
    </w:p>
    <w:p w14:paraId="0E5F2C3D">
      <w:pPr>
        <w:spacing w:line="360" w:lineRule="auto"/>
        <w:ind w:firstLine="1274" w:firstLineChars="423"/>
        <w:rPr>
          <w:rFonts w:hint="eastAsia" w:ascii="宋体" w:hAnsi="宋体"/>
          <w:b/>
          <w:sz w:val="30"/>
          <w:szCs w:val="30"/>
          <w:u w:val="single"/>
        </w:rPr>
      </w:pPr>
      <w:r>
        <w:rPr>
          <w:rFonts w:hint="eastAsia" w:ascii="宋体" w:hAnsi="宋体"/>
          <w:b/>
          <w:sz w:val="30"/>
          <w:szCs w:val="30"/>
        </w:rPr>
        <w:t>采购代理机构（</w:t>
      </w:r>
      <w:r>
        <w:rPr>
          <w:rFonts w:ascii="宋体" w:hAnsi="宋体"/>
          <w:b/>
          <w:sz w:val="30"/>
          <w:szCs w:val="30"/>
        </w:rPr>
        <w:t>如有</w:t>
      </w:r>
      <w:r>
        <w:rPr>
          <w:rFonts w:hint="eastAsia" w:ascii="宋体" w:hAnsi="宋体"/>
          <w:b/>
          <w:sz w:val="30"/>
          <w:szCs w:val="30"/>
        </w:rPr>
        <w:t>）</w:t>
      </w:r>
      <w:r>
        <w:rPr>
          <w:rFonts w:ascii="宋体" w:hAnsi="宋体"/>
          <w:b/>
          <w:sz w:val="30"/>
          <w:szCs w:val="30"/>
        </w:rPr>
        <w:t>：</w:t>
      </w:r>
      <w:r>
        <w:rPr>
          <w:rFonts w:hint="eastAsia" w:ascii="宋体" w:hAnsi="宋体"/>
          <w:b/>
          <w:sz w:val="30"/>
          <w:szCs w:val="30"/>
          <w:u w:val="single"/>
        </w:rPr>
        <w:t xml:space="preserve"> 无  </w:t>
      </w:r>
      <w:r>
        <w:rPr>
          <w:rFonts w:ascii="宋体" w:hAnsi="宋体"/>
          <w:b/>
          <w:sz w:val="30"/>
          <w:szCs w:val="30"/>
          <w:u w:val="single"/>
        </w:rPr>
        <w:t xml:space="preserve">            </w:t>
      </w:r>
    </w:p>
    <w:p w14:paraId="666A00AD">
      <w:pPr>
        <w:spacing w:line="360" w:lineRule="auto"/>
        <w:ind w:firstLine="2439" w:firstLineChars="810"/>
        <w:rPr>
          <w:rFonts w:hint="eastAsia" w:ascii="宋体" w:hAnsi="宋体"/>
          <w:b/>
          <w:sz w:val="30"/>
          <w:szCs w:val="30"/>
        </w:rPr>
      </w:pPr>
    </w:p>
    <w:p w14:paraId="41FD2C68">
      <w:pPr>
        <w:spacing w:line="360" w:lineRule="auto"/>
        <w:ind w:firstLine="1274" w:firstLineChars="423"/>
        <w:rPr>
          <w:rFonts w:hint="eastAsia" w:ascii="宋体" w:hAnsi="宋体"/>
          <w:sz w:val="28"/>
          <w:szCs w:val="28"/>
        </w:rPr>
      </w:pPr>
      <w:r>
        <w:rPr>
          <w:rFonts w:hint="eastAsia" w:ascii="宋体" w:hAnsi="宋体"/>
          <w:b/>
          <w:sz w:val="30"/>
          <w:szCs w:val="30"/>
        </w:rPr>
        <w:t>时间：</w:t>
      </w:r>
      <w:r>
        <w:rPr>
          <w:rFonts w:hint="eastAsia" w:ascii="宋体" w:hAnsi="宋体"/>
          <w:b/>
          <w:sz w:val="30"/>
          <w:szCs w:val="30"/>
          <w:u w:val="single"/>
        </w:rPr>
        <w:t xml:space="preserve"> 202</w:t>
      </w:r>
      <w:r>
        <w:rPr>
          <w:rFonts w:hint="eastAsia" w:ascii="宋体" w:hAnsi="宋体"/>
          <w:b/>
          <w:sz w:val="30"/>
          <w:szCs w:val="30"/>
          <w:u w:val="single"/>
          <w:lang w:val="en-US" w:eastAsia="zh-CN"/>
        </w:rPr>
        <w:t>6</w:t>
      </w:r>
      <w:r>
        <w:rPr>
          <w:rFonts w:hint="eastAsia" w:ascii="宋体" w:hAnsi="宋体"/>
          <w:b/>
          <w:sz w:val="30"/>
          <w:szCs w:val="30"/>
          <w:u w:val="single"/>
        </w:rPr>
        <w:t xml:space="preserve"> </w:t>
      </w:r>
      <w:r>
        <w:rPr>
          <w:rFonts w:hint="eastAsia" w:ascii="宋体" w:hAnsi="宋体"/>
          <w:b/>
          <w:sz w:val="30"/>
          <w:szCs w:val="30"/>
        </w:rPr>
        <w:t>年</w:t>
      </w:r>
      <w:r>
        <w:rPr>
          <w:rFonts w:hint="eastAsia" w:ascii="宋体" w:hAnsi="宋体"/>
          <w:b/>
          <w:sz w:val="30"/>
          <w:szCs w:val="30"/>
          <w:u w:val="single"/>
          <w:lang w:val="en-US" w:eastAsia="zh-CN"/>
        </w:rPr>
        <w:t>3</w:t>
      </w:r>
      <w:r>
        <w:rPr>
          <w:rFonts w:hint="eastAsia" w:ascii="宋体" w:hAnsi="宋体"/>
          <w:b/>
          <w:sz w:val="30"/>
          <w:szCs w:val="30"/>
          <w:u w:val="single"/>
        </w:rPr>
        <w:t xml:space="preserve"> </w:t>
      </w:r>
      <w:r>
        <w:rPr>
          <w:rFonts w:hint="eastAsia" w:ascii="宋体" w:hAnsi="宋体"/>
          <w:b/>
          <w:sz w:val="30"/>
          <w:szCs w:val="30"/>
        </w:rPr>
        <w:t>月</w:t>
      </w:r>
      <w:r>
        <w:rPr>
          <w:rFonts w:hint="eastAsia" w:ascii="宋体" w:hAnsi="宋体"/>
          <w:b/>
          <w:sz w:val="30"/>
          <w:szCs w:val="30"/>
          <w:u w:val="single"/>
        </w:rPr>
        <w:t xml:space="preserve"> </w:t>
      </w:r>
      <w:r>
        <w:rPr>
          <w:rFonts w:hint="eastAsia" w:ascii="宋体" w:hAnsi="宋体"/>
          <w:b/>
          <w:sz w:val="30"/>
          <w:szCs w:val="30"/>
          <w:u w:val="single"/>
          <w:lang w:val="en-US" w:eastAsia="zh-CN"/>
        </w:rPr>
        <w:t>3</w:t>
      </w:r>
      <w:r>
        <w:rPr>
          <w:rFonts w:hint="eastAsia" w:ascii="宋体" w:hAnsi="宋体"/>
          <w:b/>
          <w:sz w:val="30"/>
          <w:szCs w:val="30"/>
        </w:rPr>
        <w:t>日</w:t>
      </w:r>
    </w:p>
    <w:p w14:paraId="5DC10E58">
      <w:pPr>
        <w:jc w:val="center"/>
        <w:rPr>
          <w:rFonts w:hint="eastAsia" w:ascii="华文细黑" w:hAnsi="华文细黑" w:eastAsia="华文细黑"/>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5240238E">
      <w:pPr>
        <w:jc w:val="center"/>
        <w:rPr>
          <w:rFonts w:hint="eastAsia" w:ascii="华文细黑" w:hAnsi="华文细黑" w:eastAsia="华文细黑"/>
          <w:b/>
          <w:sz w:val="32"/>
          <w:szCs w:val="32"/>
        </w:rPr>
      </w:pPr>
      <w:r>
        <w:rPr>
          <w:rFonts w:hint="eastAsia" w:ascii="华文细黑" w:hAnsi="华文细黑" w:eastAsia="华文细黑"/>
          <w:b/>
          <w:sz w:val="32"/>
          <w:szCs w:val="32"/>
        </w:rPr>
        <w:t>目录</w:t>
      </w:r>
    </w:p>
    <w:p w14:paraId="1FB503E6">
      <w:pPr>
        <w:pStyle w:val="10"/>
        <w:tabs>
          <w:tab w:val="right" w:leader="dot" w:pos="8306"/>
          <w:tab w:val="clear" w:pos="1050"/>
          <w:tab w:val="clear" w:pos="1195"/>
          <w:tab w:val="clear" w:pos="10456"/>
        </w:tabs>
      </w:pPr>
      <w:r>
        <w:rPr>
          <w:rFonts w:ascii="华文细黑" w:hAnsi="华文细黑" w:eastAsia="华文细黑" w:cs="Calibri"/>
          <w:bCs/>
          <w:caps/>
          <w:sz w:val="28"/>
          <w:szCs w:val="28"/>
        </w:rPr>
        <w:fldChar w:fldCharType="begin"/>
      </w:r>
      <w:r>
        <w:rPr>
          <w:rFonts w:ascii="华文细黑" w:hAnsi="华文细黑" w:eastAsia="华文细黑"/>
          <w:sz w:val="28"/>
          <w:szCs w:val="28"/>
        </w:rPr>
        <w:instrText xml:space="preserve"> </w:instrText>
      </w:r>
      <w:r>
        <w:rPr>
          <w:rFonts w:hint="eastAsia" w:ascii="华文细黑" w:hAnsi="华文细黑" w:eastAsia="华文细黑"/>
          <w:sz w:val="28"/>
          <w:szCs w:val="28"/>
        </w:rPr>
        <w:instrText xml:space="preserve">TOC \o "1-4" \h \z \u</w:instrText>
      </w:r>
      <w:r>
        <w:rPr>
          <w:rFonts w:ascii="华文细黑" w:hAnsi="华文细黑" w:eastAsia="华文细黑"/>
          <w:sz w:val="28"/>
          <w:szCs w:val="28"/>
        </w:rPr>
        <w:instrText xml:space="preserve"> </w:instrText>
      </w:r>
      <w:r>
        <w:rPr>
          <w:rFonts w:ascii="华文细黑" w:hAnsi="华文细黑" w:eastAsia="华文细黑" w:cs="Calibri"/>
          <w:bCs/>
          <w:caps/>
          <w:sz w:val="28"/>
          <w:szCs w:val="28"/>
        </w:rPr>
        <w:fldChar w:fldCharType="separate"/>
      </w:r>
      <w:r>
        <w:rPr>
          <w:rFonts w:ascii="华文细黑" w:hAnsi="华文细黑" w:eastAsia="华文细黑" w:cs="Calibri"/>
          <w:bCs/>
          <w:caps/>
          <w:szCs w:val="28"/>
        </w:rPr>
        <w:fldChar w:fldCharType="begin"/>
      </w:r>
      <w:r>
        <w:rPr>
          <w:rFonts w:ascii="华文细黑" w:hAnsi="华文细黑" w:eastAsia="华文细黑" w:cs="Calibri"/>
          <w:bCs/>
          <w:caps/>
          <w:szCs w:val="28"/>
        </w:rPr>
        <w:instrText xml:space="preserve"> HYPERLINK \l _Toc10850 </w:instrText>
      </w:r>
      <w:r>
        <w:rPr>
          <w:rFonts w:ascii="华文细黑" w:hAnsi="华文细黑" w:eastAsia="华文细黑" w:cs="Calibri"/>
          <w:bCs/>
          <w:caps/>
          <w:szCs w:val="28"/>
        </w:rPr>
        <w:fldChar w:fldCharType="separate"/>
      </w:r>
      <w:r>
        <w:rPr>
          <w:rFonts w:hint="default" w:ascii="宋体" w:hAnsi="宋体" w:cs="宋体"/>
          <w:kern w:val="44"/>
          <w:szCs w:val="32"/>
        </w:rPr>
        <w:t xml:space="preserve">第一章 </w:t>
      </w:r>
      <w:r>
        <w:rPr>
          <w:rFonts w:hint="eastAsia" w:ascii="宋体" w:hAnsi="宋体" w:cs="宋体"/>
          <w:kern w:val="44"/>
          <w:szCs w:val="32"/>
        </w:rPr>
        <w:t>供应商</w:t>
      </w:r>
      <w:r>
        <w:rPr>
          <w:rFonts w:ascii="宋体" w:hAnsi="宋体" w:cs="宋体"/>
          <w:kern w:val="44"/>
          <w:szCs w:val="32"/>
        </w:rPr>
        <w:t>须知</w:t>
      </w:r>
      <w:r>
        <w:tab/>
      </w:r>
      <w:r>
        <w:fldChar w:fldCharType="begin"/>
      </w:r>
      <w:r>
        <w:instrText xml:space="preserve"> PAGEREF _Toc10850 \h </w:instrText>
      </w:r>
      <w:r>
        <w:fldChar w:fldCharType="separate"/>
      </w:r>
      <w:r>
        <w:t>3</w:t>
      </w:r>
      <w:r>
        <w:fldChar w:fldCharType="end"/>
      </w:r>
      <w:r>
        <w:rPr>
          <w:rFonts w:ascii="华文细黑" w:hAnsi="华文细黑" w:eastAsia="华文细黑" w:cs="Calibri"/>
          <w:bCs/>
          <w:caps/>
          <w:szCs w:val="28"/>
        </w:rPr>
        <w:fldChar w:fldCharType="end"/>
      </w:r>
    </w:p>
    <w:p w14:paraId="3CBF1B16">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_Toc31816 </w:instrText>
      </w:r>
      <w:r>
        <w:rPr>
          <w:rFonts w:ascii="华文细黑" w:hAnsi="华文细黑" w:eastAsia="华文细黑"/>
          <w:szCs w:val="28"/>
        </w:rPr>
        <w:fldChar w:fldCharType="separate"/>
      </w:r>
      <w:r>
        <w:rPr>
          <w:rFonts w:hint="default" w:ascii="宋体" w:hAnsi="宋体"/>
          <w:szCs w:val="24"/>
        </w:rPr>
        <w:t xml:space="preserve">一、 </w:t>
      </w:r>
      <w:r>
        <w:rPr>
          <w:rFonts w:hint="eastAsia" w:ascii="宋体" w:hAnsi="宋体"/>
          <w:szCs w:val="24"/>
        </w:rPr>
        <w:t>定义</w:t>
      </w:r>
      <w:r>
        <w:tab/>
      </w:r>
      <w:r>
        <w:fldChar w:fldCharType="begin"/>
      </w:r>
      <w:r>
        <w:instrText xml:space="preserve"> PAGEREF _Toc31816 \h </w:instrText>
      </w:r>
      <w:r>
        <w:fldChar w:fldCharType="separate"/>
      </w:r>
      <w:r>
        <w:t>3</w:t>
      </w:r>
      <w:r>
        <w:fldChar w:fldCharType="end"/>
      </w:r>
      <w:r>
        <w:rPr>
          <w:rFonts w:ascii="华文细黑" w:hAnsi="华文细黑" w:eastAsia="华文细黑"/>
          <w:szCs w:val="28"/>
        </w:rPr>
        <w:fldChar w:fldCharType="end"/>
      </w:r>
    </w:p>
    <w:p w14:paraId="316495FC">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_Toc9843 </w:instrText>
      </w:r>
      <w:r>
        <w:rPr>
          <w:rFonts w:ascii="华文细黑" w:hAnsi="华文细黑" w:eastAsia="华文细黑"/>
          <w:szCs w:val="28"/>
        </w:rPr>
        <w:fldChar w:fldCharType="separate"/>
      </w:r>
      <w:r>
        <w:rPr>
          <w:rFonts w:hint="default" w:ascii="宋体" w:hAnsi="宋体"/>
          <w:szCs w:val="24"/>
        </w:rPr>
        <w:t xml:space="preserve">二、 </w:t>
      </w:r>
      <w:r>
        <w:rPr>
          <w:rFonts w:hint="eastAsia" w:ascii="宋体" w:hAnsi="宋体"/>
          <w:szCs w:val="24"/>
        </w:rPr>
        <w:t>平台</w:t>
      </w:r>
      <w:r>
        <w:rPr>
          <w:rFonts w:ascii="宋体" w:hAnsi="宋体"/>
          <w:szCs w:val="24"/>
        </w:rPr>
        <w:t>供应商影响信用行为</w:t>
      </w:r>
      <w:r>
        <w:rPr>
          <w:rFonts w:hint="eastAsia" w:ascii="宋体" w:hAnsi="宋体"/>
          <w:szCs w:val="24"/>
        </w:rPr>
        <w:t>及</w:t>
      </w:r>
      <w:r>
        <w:rPr>
          <w:rFonts w:ascii="宋体" w:hAnsi="宋体"/>
          <w:szCs w:val="24"/>
        </w:rPr>
        <w:t>处理办法</w:t>
      </w:r>
      <w:r>
        <w:tab/>
      </w:r>
      <w:r>
        <w:fldChar w:fldCharType="begin"/>
      </w:r>
      <w:r>
        <w:instrText xml:space="preserve"> PAGEREF _Toc9843 \h </w:instrText>
      </w:r>
      <w:r>
        <w:fldChar w:fldCharType="separate"/>
      </w:r>
      <w:r>
        <w:t>3</w:t>
      </w:r>
      <w:r>
        <w:fldChar w:fldCharType="end"/>
      </w:r>
      <w:r>
        <w:rPr>
          <w:rFonts w:ascii="华文细黑" w:hAnsi="华文细黑" w:eastAsia="华文细黑"/>
          <w:szCs w:val="28"/>
        </w:rPr>
        <w:fldChar w:fldCharType="end"/>
      </w:r>
    </w:p>
    <w:p w14:paraId="7281426D">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_Toc14416 </w:instrText>
      </w:r>
      <w:r>
        <w:rPr>
          <w:rFonts w:ascii="华文细黑" w:hAnsi="华文细黑" w:eastAsia="华文细黑"/>
          <w:szCs w:val="28"/>
        </w:rPr>
        <w:fldChar w:fldCharType="separate"/>
      </w:r>
      <w:r>
        <w:rPr>
          <w:rFonts w:hint="default" w:ascii="宋体" w:hAnsi="宋体"/>
          <w:szCs w:val="24"/>
        </w:rPr>
        <w:t xml:space="preserve">三、 </w:t>
      </w:r>
      <w:r>
        <w:rPr>
          <w:rFonts w:hint="eastAsia" w:ascii="宋体" w:hAnsi="宋体"/>
          <w:szCs w:val="24"/>
        </w:rPr>
        <w:t>供应商</w:t>
      </w:r>
      <w:r>
        <w:rPr>
          <w:rFonts w:ascii="宋体" w:hAnsi="宋体"/>
          <w:szCs w:val="24"/>
        </w:rPr>
        <w:t>注意事项</w:t>
      </w:r>
      <w:r>
        <w:tab/>
      </w:r>
      <w:r>
        <w:fldChar w:fldCharType="begin"/>
      </w:r>
      <w:r>
        <w:instrText xml:space="preserve"> PAGEREF _Toc14416 \h </w:instrText>
      </w:r>
      <w:r>
        <w:fldChar w:fldCharType="separate"/>
      </w:r>
      <w:r>
        <w:t>5</w:t>
      </w:r>
      <w:r>
        <w:fldChar w:fldCharType="end"/>
      </w:r>
      <w:r>
        <w:rPr>
          <w:rFonts w:ascii="华文细黑" w:hAnsi="华文细黑" w:eastAsia="华文细黑"/>
          <w:szCs w:val="28"/>
        </w:rPr>
        <w:fldChar w:fldCharType="end"/>
      </w:r>
    </w:p>
    <w:p w14:paraId="7FCE48C2">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_Toc16846 </w:instrText>
      </w:r>
      <w:r>
        <w:rPr>
          <w:rFonts w:ascii="华文细黑" w:hAnsi="华文细黑" w:eastAsia="华文细黑"/>
          <w:szCs w:val="28"/>
        </w:rPr>
        <w:fldChar w:fldCharType="separate"/>
      </w:r>
      <w:r>
        <w:rPr>
          <w:rFonts w:hint="default" w:ascii="宋体" w:hAnsi="宋体"/>
          <w:szCs w:val="28"/>
        </w:rPr>
        <w:t xml:space="preserve">四、 </w:t>
      </w:r>
      <w:r>
        <w:rPr>
          <w:rFonts w:hint="eastAsia" w:ascii="宋体" w:hAnsi="宋体"/>
          <w:szCs w:val="28"/>
        </w:rPr>
        <w:t>问题</w:t>
      </w:r>
      <w:r>
        <w:rPr>
          <w:rFonts w:ascii="宋体" w:hAnsi="宋体"/>
          <w:szCs w:val="28"/>
        </w:rPr>
        <w:t>咨询与反馈</w:t>
      </w:r>
      <w:r>
        <w:tab/>
      </w:r>
      <w:r>
        <w:fldChar w:fldCharType="begin"/>
      </w:r>
      <w:r>
        <w:instrText xml:space="preserve"> PAGEREF _Toc16846 \h </w:instrText>
      </w:r>
      <w:r>
        <w:fldChar w:fldCharType="separate"/>
      </w:r>
      <w:r>
        <w:t>6</w:t>
      </w:r>
      <w:r>
        <w:fldChar w:fldCharType="end"/>
      </w:r>
      <w:r>
        <w:rPr>
          <w:rFonts w:ascii="华文细黑" w:hAnsi="华文细黑" w:eastAsia="华文细黑"/>
          <w:szCs w:val="28"/>
        </w:rPr>
        <w:fldChar w:fldCharType="end"/>
      </w:r>
    </w:p>
    <w:p w14:paraId="61E2BDB9">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_Toc22405 </w:instrText>
      </w:r>
      <w:r>
        <w:rPr>
          <w:rFonts w:ascii="华文细黑" w:hAnsi="华文细黑" w:eastAsia="华文细黑"/>
          <w:szCs w:val="28"/>
        </w:rPr>
        <w:fldChar w:fldCharType="separate"/>
      </w:r>
      <w:r>
        <w:rPr>
          <w:rFonts w:hint="default" w:ascii="宋体" w:hAnsi="宋体"/>
          <w:szCs w:val="24"/>
        </w:rPr>
        <w:t xml:space="preserve">五、 </w:t>
      </w:r>
      <w:r>
        <w:rPr>
          <w:rFonts w:hint="eastAsia" w:ascii="宋体" w:hAnsi="宋体"/>
          <w:szCs w:val="24"/>
        </w:rPr>
        <w:t>投诉与</w:t>
      </w:r>
      <w:r>
        <w:rPr>
          <w:rFonts w:ascii="宋体" w:hAnsi="宋体"/>
          <w:szCs w:val="24"/>
        </w:rPr>
        <w:t>举报</w:t>
      </w:r>
      <w:r>
        <w:tab/>
      </w:r>
      <w:r>
        <w:fldChar w:fldCharType="begin"/>
      </w:r>
      <w:r>
        <w:instrText xml:space="preserve"> PAGEREF _Toc22405 \h </w:instrText>
      </w:r>
      <w:r>
        <w:fldChar w:fldCharType="separate"/>
      </w:r>
      <w:r>
        <w:t>6</w:t>
      </w:r>
      <w:r>
        <w:fldChar w:fldCharType="end"/>
      </w:r>
      <w:r>
        <w:rPr>
          <w:rFonts w:ascii="华文细黑" w:hAnsi="华文细黑" w:eastAsia="华文细黑"/>
          <w:szCs w:val="28"/>
        </w:rPr>
        <w:fldChar w:fldCharType="end"/>
      </w:r>
    </w:p>
    <w:p w14:paraId="0EF45A12">
      <w:pPr>
        <w:pStyle w:val="10"/>
        <w:tabs>
          <w:tab w:val="right" w:leader="dot" w:pos="8306"/>
          <w:tab w:val="clear" w:pos="1050"/>
          <w:tab w:val="clear" w:pos="1195"/>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_Toc29052 </w:instrText>
      </w:r>
      <w:r>
        <w:rPr>
          <w:rFonts w:ascii="华文细黑" w:hAnsi="华文细黑" w:eastAsia="华文细黑"/>
          <w:szCs w:val="28"/>
        </w:rPr>
        <w:fldChar w:fldCharType="separate"/>
      </w:r>
      <w:r>
        <w:rPr>
          <w:rFonts w:hint="default" w:ascii="宋体" w:hAnsi="宋体" w:cs="宋体"/>
          <w:kern w:val="44"/>
          <w:szCs w:val="32"/>
        </w:rPr>
        <w:t xml:space="preserve">第二章 </w:t>
      </w:r>
      <w:r>
        <w:rPr>
          <w:rFonts w:hint="eastAsia" w:ascii="宋体" w:hAnsi="宋体" w:cs="宋体"/>
          <w:kern w:val="44"/>
          <w:szCs w:val="32"/>
        </w:rPr>
        <w:t>采购邀请</w:t>
      </w:r>
      <w:r>
        <w:tab/>
      </w:r>
      <w:r>
        <w:fldChar w:fldCharType="begin"/>
      </w:r>
      <w:r>
        <w:instrText xml:space="preserve"> PAGEREF _Toc29052 \h </w:instrText>
      </w:r>
      <w:r>
        <w:fldChar w:fldCharType="separate"/>
      </w:r>
      <w:r>
        <w:t>7</w:t>
      </w:r>
      <w:r>
        <w:fldChar w:fldCharType="end"/>
      </w:r>
      <w:r>
        <w:rPr>
          <w:rFonts w:ascii="华文细黑" w:hAnsi="华文细黑" w:eastAsia="华文细黑"/>
          <w:szCs w:val="28"/>
        </w:rPr>
        <w:fldChar w:fldCharType="end"/>
      </w:r>
    </w:p>
    <w:p w14:paraId="11DDE7BE">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_Toc32047 </w:instrText>
      </w:r>
      <w:r>
        <w:rPr>
          <w:rFonts w:ascii="华文细黑" w:hAnsi="华文细黑" w:eastAsia="华文细黑"/>
          <w:szCs w:val="28"/>
        </w:rPr>
        <w:fldChar w:fldCharType="separate"/>
      </w:r>
      <w:r>
        <w:rPr>
          <w:rFonts w:hint="eastAsia" w:ascii="宋体" w:hAnsi="宋体"/>
          <w:szCs w:val="24"/>
        </w:rPr>
        <w:t>一、 采购</w:t>
      </w:r>
      <w:r>
        <w:rPr>
          <w:rFonts w:ascii="宋体" w:hAnsi="宋体"/>
          <w:szCs w:val="24"/>
        </w:rPr>
        <w:t>需求</w:t>
      </w:r>
      <w:r>
        <w:tab/>
      </w:r>
      <w:r>
        <w:fldChar w:fldCharType="begin"/>
      </w:r>
      <w:r>
        <w:instrText xml:space="preserve"> PAGEREF _Toc32047 \h </w:instrText>
      </w:r>
      <w:r>
        <w:fldChar w:fldCharType="separate"/>
      </w:r>
      <w:r>
        <w:t>7</w:t>
      </w:r>
      <w:r>
        <w:fldChar w:fldCharType="end"/>
      </w:r>
      <w:r>
        <w:rPr>
          <w:rFonts w:ascii="华文细黑" w:hAnsi="华文细黑" w:eastAsia="华文细黑"/>
          <w:szCs w:val="28"/>
        </w:rPr>
        <w:fldChar w:fldCharType="end"/>
      </w:r>
    </w:p>
    <w:p w14:paraId="5C49E798">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_Toc19588 </w:instrText>
      </w:r>
      <w:r>
        <w:rPr>
          <w:rFonts w:ascii="华文细黑" w:hAnsi="华文细黑" w:eastAsia="华文细黑"/>
          <w:szCs w:val="28"/>
        </w:rPr>
        <w:fldChar w:fldCharType="separate"/>
      </w:r>
      <w:r>
        <w:rPr>
          <w:rFonts w:hint="eastAsia" w:ascii="宋体" w:hAnsi="宋体"/>
          <w:szCs w:val="24"/>
        </w:rPr>
        <w:t>二、 采购</w:t>
      </w:r>
      <w:r>
        <w:rPr>
          <w:rFonts w:ascii="宋体" w:hAnsi="宋体"/>
          <w:szCs w:val="24"/>
        </w:rPr>
        <w:t>文件的获取</w:t>
      </w:r>
      <w:r>
        <w:tab/>
      </w:r>
      <w:r>
        <w:fldChar w:fldCharType="begin"/>
      </w:r>
      <w:r>
        <w:instrText xml:space="preserve"> PAGEREF _Toc19588 \h </w:instrText>
      </w:r>
      <w:r>
        <w:fldChar w:fldCharType="separate"/>
      </w:r>
      <w:r>
        <w:t>7</w:t>
      </w:r>
      <w:r>
        <w:fldChar w:fldCharType="end"/>
      </w:r>
      <w:r>
        <w:rPr>
          <w:rFonts w:ascii="华文细黑" w:hAnsi="华文细黑" w:eastAsia="华文细黑"/>
          <w:szCs w:val="28"/>
        </w:rPr>
        <w:fldChar w:fldCharType="end"/>
      </w:r>
    </w:p>
    <w:p w14:paraId="0C6224EF">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_Toc18857 </w:instrText>
      </w:r>
      <w:r>
        <w:rPr>
          <w:rFonts w:ascii="华文细黑" w:hAnsi="华文细黑" w:eastAsia="华文细黑"/>
          <w:szCs w:val="28"/>
        </w:rPr>
        <w:fldChar w:fldCharType="separate"/>
      </w:r>
      <w:r>
        <w:rPr>
          <w:rFonts w:hint="eastAsia" w:ascii="宋体" w:hAnsi="宋体"/>
          <w:szCs w:val="24"/>
        </w:rPr>
        <w:t>三、 最高</w:t>
      </w:r>
      <w:r>
        <w:rPr>
          <w:rFonts w:ascii="宋体" w:hAnsi="宋体"/>
          <w:szCs w:val="24"/>
        </w:rPr>
        <w:t>限价</w:t>
      </w:r>
      <w:r>
        <w:rPr>
          <w:rFonts w:hint="eastAsia" w:ascii="宋体" w:hAnsi="宋体"/>
          <w:szCs w:val="24"/>
        </w:rPr>
        <w:t>（系数）</w:t>
      </w:r>
      <w:r>
        <w:tab/>
      </w:r>
      <w:r>
        <w:fldChar w:fldCharType="begin"/>
      </w:r>
      <w:r>
        <w:instrText xml:space="preserve"> PAGEREF _Toc18857 \h </w:instrText>
      </w:r>
      <w:r>
        <w:fldChar w:fldCharType="separate"/>
      </w:r>
      <w:r>
        <w:t>7</w:t>
      </w:r>
      <w:r>
        <w:fldChar w:fldCharType="end"/>
      </w:r>
      <w:r>
        <w:rPr>
          <w:rFonts w:ascii="华文细黑" w:hAnsi="华文细黑" w:eastAsia="华文细黑"/>
          <w:szCs w:val="28"/>
        </w:rPr>
        <w:fldChar w:fldCharType="end"/>
      </w:r>
    </w:p>
    <w:p w14:paraId="6D386A3A">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_Toc2424 </w:instrText>
      </w:r>
      <w:r>
        <w:rPr>
          <w:rFonts w:ascii="华文细黑" w:hAnsi="华文细黑" w:eastAsia="华文细黑"/>
          <w:szCs w:val="28"/>
        </w:rPr>
        <w:fldChar w:fldCharType="separate"/>
      </w:r>
      <w:r>
        <w:rPr>
          <w:rFonts w:hint="eastAsia" w:ascii="宋体" w:hAnsi="宋体"/>
          <w:szCs w:val="24"/>
        </w:rPr>
        <w:t>四、 投标保证金</w:t>
      </w:r>
      <w:r>
        <w:tab/>
      </w:r>
      <w:r>
        <w:fldChar w:fldCharType="begin"/>
      </w:r>
      <w:r>
        <w:instrText xml:space="preserve"> PAGEREF _Toc2424 \h </w:instrText>
      </w:r>
      <w:r>
        <w:fldChar w:fldCharType="separate"/>
      </w:r>
      <w:r>
        <w:t>8</w:t>
      </w:r>
      <w:r>
        <w:fldChar w:fldCharType="end"/>
      </w:r>
      <w:r>
        <w:rPr>
          <w:rFonts w:ascii="华文细黑" w:hAnsi="华文细黑" w:eastAsia="华文细黑"/>
          <w:szCs w:val="28"/>
        </w:rPr>
        <w:fldChar w:fldCharType="end"/>
      </w:r>
    </w:p>
    <w:p w14:paraId="26F3DC29">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_Toc31302 </w:instrText>
      </w:r>
      <w:r>
        <w:rPr>
          <w:rFonts w:ascii="华文细黑" w:hAnsi="华文细黑" w:eastAsia="华文细黑"/>
          <w:szCs w:val="28"/>
        </w:rPr>
        <w:fldChar w:fldCharType="separate"/>
      </w:r>
      <w:r>
        <w:rPr>
          <w:rFonts w:hint="eastAsia" w:ascii="宋体" w:hAnsi="宋体"/>
          <w:szCs w:val="24"/>
        </w:rPr>
        <w:t>五、 履约</w:t>
      </w:r>
      <w:r>
        <w:rPr>
          <w:rFonts w:ascii="宋体" w:hAnsi="宋体"/>
          <w:szCs w:val="24"/>
        </w:rPr>
        <w:t>保证金</w:t>
      </w:r>
      <w:r>
        <w:tab/>
      </w:r>
      <w:r>
        <w:fldChar w:fldCharType="begin"/>
      </w:r>
      <w:r>
        <w:instrText xml:space="preserve"> PAGEREF _Toc31302 \h </w:instrText>
      </w:r>
      <w:r>
        <w:fldChar w:fldCharType="separate"/>
      </w:r>
      <w:r>
        <w:t>8</w:t>
      </w:r>
      <w:r>
        <w:fldChar w:fldCharType="end"/>
      </w:r>
      <w:r>
        <w:rPr>
          <w:rFonts w:ascii="华文细黑" w:hAnsi="华文细黑" w:eastAsia="华文细黑"/>
          <w:szCs w:val="28"/>
        </w:rPr>
        <w:fldChar w:fldCharType="end"/>
      </w:r>
    </w:p>
    <w:p w14:paraId="65762D5F">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_Toc21852 </w:instrText>
      </w:r>
      <w:r>
        <w:rPr>
          <w:rFonts w:ascii="华文细黑" w:hAnsi="华文细黑" w:eastAsia="华文细黑"/>
          <w:szCs w:val="28"/>
        </w:rPr>
        <w:fldChar w:fldCharType="separate"/>
      </w:r>
      <w:r>
        <w:rPr>
          <w:rFonts w:hint="eastAsia" w:ascii="宋体" w:hAnsi="宋体"/>
          <w:szCs w:val="24"/>
        </w:rPr>
        <w:t>六、 异议</w:t>
      </w:r>
      <w:r>
        <w:rPr>
          <w:rFonts w:ascii="宋体" w:hAnsi="宋体"/>
          <w:szCs w:val="24"/>
        </w:rPr>
        <w:t>提出</w:t>
      </w:r>
      <w:r>
        <w:tab/>
      </w:r>
      <w:r>
        <w:fldChar w:fldCharType="begin"/>
      </w:r>
      <w:r>
        <w:instrText xml:space="preserve"> PAGEREF _Toc21852 \h </w:instrText>
      </w:r>
      <w:r>
        <w:fldChar w:fldCharType="separate"/>
      </w:r>
      <w:r>
        <w:t>9</w:t>
      </w:r>
      <w:r>
        <w:fldChar w:fldCharType="end"/>
      </w:r>
      <w:r>
        <w:rPr>
          <w:rFonts w:ascii="华文细黑" w:hAnsi="华文细黑" w:eastAsia="华文细黑"/>
          <w:szCs w:val="28"/>
        </w:rPr>
        <w:fldChar w:fldCharType="end"/>
      </w:r>
    </w:p>
    <w:p w14:paraId="42CCD0CB">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_Toc16643 </w:instrText>
      </w:r>
      <w:r>
        <w:rPr>
          <w:rFonts w:ascii="华文细黑" w:hAnsi="华文细黑" w:eastAsia="华文细黑"/>
          <w:szCs w:val="28"/>
        </w:rPr>
        <w:fldChar w:fldCharType="separate"/>
      </w:r>
      <w:r>
        <w:rPr>
          <w:rFonts w:hint="eastAsia" w:ascii="宋体" w:hAnsi="宋体"/>
          <w:szCs w:val="24"/>
        </w:rPr>
        <w:t>七、 补遗</w:t>
      </w:r>
      <w:r>
        <w:rPr>
          <w:rFonts w:ascii="宋体" w:hAnsi="宋体"/>
          <w:szCs w:val="24"/>
        </w:rPr>
        <w:t>文件</w:t>
      </w:r>
      <w:r>
        <w:tab/>
      </w:r>
      <w:r>
        <w:fldChar w:fldCharType="begin"/>
      </w:r>
      <w:r>
        <w:instrText xml:space="preserve"> PAGEREF _Toc16643 \h </w:instrText>
      </w:r>
      <w:r>
        <w:fldChar w:fldCharType="separate"/>
      </w:r>
      <w:r>
        <w:t>9</w:t>
      </w:r>
      <w:r>
        <w:fldChar w:fldCharType="end"/>
      </w:r>
      <w:r>
        <w:rPr>
          <w:rFonts w:ascii="华文细黑" w:hAnsi="华文细黑" w:eastAsia="华文细黑"/>
          <w:szCs w:val="28"/>
        </w:rPr>
        <w:fldChar w:fldCharType="end"/>
      </w:r>
    </w:p>
    <w:p w14:paraId="3BD0FB92">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_Toc14087 </w:instrText>
      </w:r>
      <w:r>
        <w:rPr>
          <w:rFonts w:ascii="华文细黑" w:hAnsi="华文细黑" w:eastAsia="华文细黑"/>
          <w:szCs w:val="28"/>
        </w:rPr>
        <w:fldChar w:fldCharType="separate"/>
      </w:r>
      <w:r>
        <w:rPr>
          <w:rFonts w:hint="eastAsia" w:ascii="宋体" w:hAnsi="宋体"/>
          <w:szCs w:val="24"/>
        </w:rPr>
        <w:t>八、 竞价</w:t>
      </w:r>
      <w:r>
        <w:rPr>
          <w:rFonts w:ascii="宋体" w:hAnsi="宋体"/>
          <w:szCs w:val="24"/>
        </w:rPr>
        <w:t>安排</w:t>
      </w:r>
      <w:r>
        <w:tab/>
      </w:r>
      <w:r>
        <w:fldChar w:fldCharType="begin"/>
      </w:r>
      <w:r>
        <w:instrText xml:space="preserve"> PAGEREF _Toc14087 \h </w:instrText>
      </w:r>
      <w:r>
        <w:fldChar w:fldCharType="separate"/>
      </w:r>
      <w:r>
        <w:t>9</w:t>
      </w:r>
      <w:r>
        <w:fldChar w:fldCharType="end"/>
      </w:r>
      <w:r>
        <w:rPr>
          <w:rFonts w:ascii="华文细黑" w:hAnsi="华文细黑" w:eastAsia="华文细黑"/>
          <w:szCs w:val="28"/>
        </w:rPr>
        <w:fldChar w:fldCharType="end"/>
      </w:r>
    </w:p>
    <w:p w14:paraId="003942AC">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_Toc23300 </w:instrText>
      </w:r>
      <w:r>
        <w:rPr>
          <w:rFonts w:ascii="华文细黑" w:hAnsi="华文细黑" w:eastAsia="华文细黑"/>
          <w:szCs w:val="28"/>
        </w:rPr>
        <w:fldChar w:fldCharType="separate"/>
      </w:r>
      <w:r>
        <w:rPr>
          <w:rFonts w:hint="eastAsia" w:ascii="宋体" w:hAnsi="宋体"/>
          <w:szCs w:val="24"/>
        </w:rPr>
        <w:t>九、 谈判</w:t>
      </w:r>
      <w:r>
        <w:rPr>
          <w:rFonts w:ascii="宋体" w:hAnsi="宋体"/>
          <w:szCs w:val="24"/>
        </w:rPr>
        <w:t>安排</w:t>
      </w:r>
      <w:r>
        <w:tab/>
      </w:r>
      <w:r>
        <w:fldChar w:fldCharType="begin"/>
      </w:r>
      <w:r>
        <w:instrText xml:space="preserve"> PAGEREF _Toc23300 \h </w:instrText>
      </w:r>
      <w:r>
        <w:fldChar w:fldCharType="separate"/>
      </w:r>
      <w:r>
        <w:t>10</w:t>
      </w:r>
      <w:r>
        <w:fldChar w:fldCharType="end"/>
      </w:r>
      <w:r>
        <w:rPr>
          <w:rFonts w:ascii="华文细黑" w:hAnsi="华文细黑" w:eastAsia="华文细黑"/>
          <w:szCs w:val="28"/>
        </w:rPr>
        <w:fldChar w:fldCharType="end"/>
      </w:r>
    </w:p>
    <w:p w14:paraId="7C122E4F">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_Toc2591 </w:instrText>
      </w:r>
      <w:r>
        <w:rPr>
          <w:rFonts w:ascii="华文细黑" w:hAnsi="华文细黑" w:eastAsia="华文细黑"/>
          <w:szCs w:val="28"/>
        </w:rPr>
        <w:fldChar w:fldCharType="separate"/>
      </w:r>
      <w:r>
        <w:rPr>
          <w:rFonts w:hint="eastAsia" w:ascii="宋体" w:hAnsi="宋体"/>
          <w:szCs w:val="24"/>
        </w:rPr>
        <w:t>十、 报价</w:t>
      </w:r>
      <w:r>
        <w:rPr>
          <w:rFonts w:ascii="宋体" w:hAnsi="宋体"/>
          <w:szCs w:val="24"/>
        </w:rPr>
        <w:t>要求</w:t>
      </w:r>
      <w:r>
        <w:tab/>
      </w:r>
      <w:r>
        <w:fldChar w:fldCharType="begin"/>
      </w:r>
      <w:r>
        <w:instrText xml:space="preserve"> PAGEREF _Toc2591 \h </w:instrText>
      </w:r>
      <w:r>
        <w:fldChar w:fldCharType="separate"/>
      </w:r>
      <w:r>
        <w:t>10</w:t>
      </w:r>
      <w:r>
        <w:fldChar w:fldCharType="end"/>
      </w:r>
      <w:r>
        <w:rPr>
          <w:rFonts w:ascii="华文细黑" w:hAnsi="华文细黑" w:eastAsia="华文细黑"/>
          <w:szCs w:val="28"/>
        </w:rPr>
        <w:fldChar w:fldCharType="end"/>
      </w:r>
    </w:p>
    <w:p w14:paraId="5E6C3812">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_Toc25605 </w:instrText>
      </w:r>
      <w:r>
        <w:rPr>
          <w:rFonts w:ascii="华文细黑" w:hAnsi="华文细黑" w:eastAsia="华文细黑"/>
          <w:szCs w:val="28"/>
        </w:rPr>
        <w:fldChar w:fldCharType="separate"/>
      </w:r>
      <w:r>
        <w:rPr>
          <w:rFonts w:hint="eastAsia" w:ascii="宋体" w:hAnsi="宋体"/>
          <w:szCs w:val="24"/>
        </w:rPr>
        <w:t xml:space="preserve">十一、 </w:t>
      </w:r>
      <w:r>
        <w:rPr>
          <w:rFonts w:ascii="宋体" w:hAnsi="宋体"/>
          <w:szCs w:val="24"/>
        </w:rPr>
        <w:t>合同</w:t>
      </w:r>
      <w:r>
        <w:rPr>
          <w:rFonts w:hint="eastAsia" w:ascii="宋体" w:hAnsi="宋体"/>
          <w:szCs w:val="24"/>
        </w:rPr>
        <w:t>签订</w:t>
      </w:r>
      <w:r>
        <w:tab/>
      </w:r>
      <w:r>
        <w:fldChar w:fldCharType="begin"/>
      </w:r>
      <w:r>
        <w:instrText xml:space="preserve"> PAGEREF _Toc25605 \h </w:instrText>
      </w:r>
      <w:r>
        <w:fldChar w:fldCharType="separate"/>
      </w:r>
      <w:r>
        <w:t>11</w:t>
      </w:r>
      <w:r>
        <w:fldChar w:fldCharType="end"/>
      </w:r>
      <w:r>
        <w:rPr>
          <w:rFonts w:ascii="华文细黑" w:hAnsi="华文细黑" w:eastAsia="华文细黑"/>
          <w:szCs w:val="28"/>
        </w:rPr>
        <w:fldChar w:fldCharType="end"/>
      </w:r>
    </w:p>
    <w:p w14:paraId="41D494E8">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_Toc14177 </w:instrText>
      </w:r>
      <w:r>
        <w:rPr>
          <w:rFonts w:ascii="华文细黑" w:hAnsi="华文细黑" w:eastAsia="华文细黑"/>
          <w:szCs w:val="28"/>
        </w:rPr>
        <w:fldChar w:fldCharType="separate"/>
      </w:r>
      <w:r>
        <w:rPr>
          <w:rFonts w:hint="eastAsia" w:ascii="宋体" w:hAnsi="宋体"/>
          <w:szCs w:val="24"/>
        </w:rPr>
        <w:t>十二、 付款方式</w:t>
      </w:r>
      <w:r>
        <w:tab/>
      </w:r>
      <w:r>
        <w:fldChar w:fldCharType="begin"/>
      </w:r>
      <w:r>
        <w:instrText xml:space="preserve"> PAGEREF _Toc14177 \h </w:instrText>
      </w:r>
      <w:r>
        <w:fldChar w:fldCharType="separate"/>
      </w:r>
      <w:r>
        <w:t>11</w:t>
      </w:r>
      <w:r>
        <w:fldChar w:fldCharType="end"/>
      </w:r>
      <w:r>
        <w:rPr>
          <w:rFonts w:ascii="华文细黑" w:hAnsi="华文细黑" w:eastAsia="华文细黑"/>
          <w:szCs w:val="28"/>
        </w:rPr>
        <w:fldChar w:fldCharType="end"/>
      </w:r>
    </w:p>
    <w:p w14:paraId="568BE836">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_Toc5650 </w:instrText>
      </w:r>
      <w:r>
        <w:rPr>
          <w:rFonts w:ascii="华文细黑" w:hAnsi="华文细黑" w:eastAsia="华文细黑"/>
          <w:szCs w:val="28"/>
        </w:rPr>
        <w:fldChar w:fldCharType="separate"/>
      </w:r>
      <w:r>
        <w:rPr>
          <w:rFonts w:hint="eastAsia" w:ascii="宋体" w:hAnsi="宋体"/>
          <w:szCs w:val="24"/>
        </w:rPr>
        <w:t>十三、 成交服务费</w:t>
      </w:r>
      <w:r>
        <w:tab/>
      </w:r>
      <w:r>
        <w:fldChar w:fldCharType="begin"/>
      </w:r>
      <w:r>
        <w:instrText xml:space="preserve"> PAGEREF _Toc5650 \h </w:instrText>
      </w:r>
      <w:r>
        <w:fldChar w:fldCharType="separate"/>
      </w:r>
      <w:r>
        <w:t>11</w:t>
      </w:r>
      <w:r>
        <w:fldChar w:fldCharType="end"/>
      </w:r>
      <w:r>
        <w:rPr>
          <w:rFonts w:ascii="华文细黑" w:hAnsi="华文细黑" w:eastAsia="华文细黑"/>
          <w:szCs w:val="28"/>
        </w:rPr>
        <w:fldChar w:fldCharType="end"/>
      </w:r>
    </w:p>
    <w:p w14:paraId="0D74FC50">
      <w:pPr>
        <w:pStyle w:val="11"/>
        <w:tabs>
          <w:tab w:val="right" w:leader="dot" w:pos="8306"/>
          <w:tab w:val="clear" w:pos="1260"/>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_Toc15326 </w:instrText>
      </w:r>
      <w:r>
        <w:rPr>
          <w:rFonts w:ascii="华文细黑" w:hAnsi="华文细黑" w:eastAsia="华文细黑"/>
          <w:szCs w:val="28"/>
        </w:rPr>
        <w:fldChar w:fldCharType="separate"/>
      </w:r>
      <w:r>
        <w:rPr>
          <w:rFonts w:hint="eastAsia" w:ascii="宋体" w:hAnsi="宋体"/>
          <w:szCs w:val="24"/>
        </w:rPr>
        <w:t>十四、 联系</w:t>
      </w:r>
      <w:r>
        <w:rPr>
          <w:rFonts w:ascii="宋体" w:hAnsi="宋体"/>
          <w:szCs w:val="24"/>
        </w:rPr>
        <w:t>方式</w:t>
      </w:r>
      <w:r>
        <w:tab/>
      </w:r>
      <w:r>
        <w:fldChar w:fldCharType="begin"/>
      </w:r>
      <w:r>
        <w:instrText xml:space="preserve"> PAGEREF _Toc15326 \h </w:instrText>
      </w:r>
      <w:r>
        <w:fldChar w:fldCharType="separate"/>
      </w:r>
      <w:r>
        <w:t>11</w:t>
      </w:r>
      <w:r>
        <w:fldChar w:fldCharType="end"/>
      </w:r>
      <w:r>
        <w:rPr>
          <w:rFonts w:ascii="华文细黑" w:hAnsi="华文细黑" w:eastAsia="华文细黑"/>
          <w:szCs w:val="28"/>
        </w:rPr>
        <w:fldChar w:fldCharType="end"/>
      </w:r>
    </w:p>
    <w:p w14:paraId="0A72548C">
      <w:pPr>
        <w:pStyle w:val="10"/>
        <w:tabs>
          <w:tab w:val="right" w:leader="dot" w:pos="8306"/>
          <w:tab w:val="clear" w:pos="1050"/>
          <w:tab w:val="clear" w:pos="1195"/>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_Toc24650 </w:instrText>
      </w:r>
      <w:r>
        <w:rPr>
          <w:rFonts w:ascii="华文细黑" w:hAnsi="华文细黑" w:eastAsia="华文细黑"/>
          <w:szCs w:val="28"/>
        </w:rPr>
        <w:fldChar w:fldCharType="separate"/>
      </w:r>
      <w:r>
        <w:rPr>
          <w:rFonts w:hint="default" w:ascii="宋体" w:hAnsi="宋体" w:cs="宋体"/>
          <w:kern w:val="44"/>
          <w:szCs w:val="32"/>
        </w:rPr>
        <w:t xml:space="preserve">第三章 </w:t>
      </w:r>
      <w:r>
        <w:rPr>
          <w:rFonts w:hint="eastAsia" w:ascii="宋体" w:hAnsi="宋体" w:cs="宋体"/>
          <w:kern w:val="44"/>
          <w:szCs w:val="32"/>
        </w:rPr>
        <w:t>技术及供货</w:t>
      </w:r>
      <w:r>
        <w:rPr>
          <w:rFonts w:ascii="宋体" w:hAnsi="宋体" w:cs="宋体"/>
          <w:kern w:val="44"/>
          <w:szCs w:val="32"/>
        </w:rPr>
        <w:t>要求</w:t>
      </w:r>
      <w:r>
        <w:tab/>
      </w:r>
      <w:r>
        <w:fldChar w:fldCharType="begin"/>
      </w:r>
      <w:r>
        <w:instrText xml:space="preserve"> PAGEREF _Toc24650 \h </w:instrText>
      </w:r>
      <w:r>
        <w:fldChar w:fldCharType="separate"/>
      </w:r>
      <w:r>
        <w:t>12</w:t>
      </w:r>
      <w:r>
        <w:fldChar w:fldCharType="end"/>
      </w:r>
      <w:r>
        <w:rPr>
          <w:rFonts w:ascii="华文细黑" w:hAnsi="华文细黑" w:eastAsia="华文细黑"/>
          <w:szCs w:val="28"/>
        </w:rPr>
        <w:fldChar w:fldCharType="end"/>
      </w:r>
    </w:p>
    <w:p w14:paraId="45F44972">
      <w:pPr>
        <w:pStyle w:val="10"/>
        <w:tabs>
          <w:tab w:val="right" w:leader="dot" w:pos="8306"/>
          <w:tab w:val="clear" w:pos="1050"/>
          <w:tab w:val="clear" w:pos="1195"/>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_Toc24392 </w:instrText>
      </w:r>
      <w:r>
        <w:rPr>
          <w:rFonts w:ascii="华文细黑" w:hAnsi="华文细黑" w:eastAsia="华文细黑"/>
          <w:szCs w:val="28"/>
        </w:rPr>
        <w:fldChar w:fldCharType="separate"/>
      </w:r>
      <w:r>
        <w:rPr>
          <w:rFonts w:hint="default" w:ascii="宋体" w:hAnsi="宋体" w:cs="宋体"/>
          <w:kern w:val="44"/>
          <w:szCs w:val="32"/>
        </w:rPr>
        <w:t xml:space="preserve">第四章 </w:t>
      </w:r>
      <w:r>
        <w:rPr>
          <w:rFonts w:hint="eastAsia" w:ascii="宋体" w:hAnsi="宋体" w:cs="宋体"/>
          <w:kern w:val="44"/>
          <w:szCs w:val="32"/>
        </w:rPr>
        <w:t>采购文件附件</w:t>
      </w:r>
      <w:r>
        <w:tab/>
      </w:r>
      <w:r>
        <w:fldChar w:fldCharType="begin"/>
      </w:r>
      <w:r>
        <w:instrText xml:space="preserve"> PAGEREF _Toc24392 \h </w:instrText>
      </w:r>
      <w:r>
        <w:fldChar w:fldCharType="separate"/>
      </w:r>
      <w:r>
        <w:t>13</w:t>
      </w:r>
      <w:r>
        <w:fldChar w:fldCharType="end"/>
      </w:r>
      <w:r>
        <w:rPr>
          <w:rFonts w:ascii="华文细黑" w:hAnsi="华文细黑" w:eastAsia="华文细黑"/>
          <w:szCs w:val="28"/>
        </w:rPr>
        <w:fldChar w:fldCharType="end"/>
      </w:r>
    </w:p>
    <w:p w14:paraId="46E1D9E8">
      <w:pPr>
        <w:pStyle w:val="10"/>
        <w:tabs>
          <w:tab w:val="right" w:leader="dot" w:pos="8306"/>
          <w:tab w:val="clear" w:pos="1050"/>
          <w:tab w:val="clear" w:pos="1195"/>
          <w:tab w:val="clear" w:pos="10456"/>
        </w:tabs>
      </w:pPr>
      <w:r>
        <w:rPr>
          <w:rFonts w:ascii="华文细黑" w:hAnsi="华文细黑" w:eastAsia="华文细黑"/>
          <w:szCs w:val="28"/>
        </w:rPr>
        <w:fldChar w:fldCharType="begin"/>
      </w:r>
      <w:r>
        <w:rPr>
          <w:rFonts w:ascii="华文细黑" w:hAnsi="华文细黑" w:eastAsia="华文细黑"/>
          <w:szCs w:val="28"/>
        </w:rPr>
        <w:instrText xml:space="preserve"> HYPERLINK \l _Toc21628 </w:instrText>
      </w:r>
      <w:r>
        <w:rPr>
          <w:rFonts w:ascii="华文细黑" w:hAnsi="华文细黑" w:eastAsia="华文细黑"/>
          <w:szCs w:val="28"/>
        </w:rPr>
        <w:fldChar w:fldCharType="separate"/>
      </w:r>
      <w:r>
        <w:rPr>
          <w:rFonts w:hint="default" w:ascii="宋体" w:hAnsi="宋体" w:cs="宋体"/>
          <w:kern w:val="44"/>
          <w:szCs w:val="32"/>
        </w:rPr>
        <w:t xml:space="preserve">第五章 </w:t>
      </w:r>
      <w:r>
        <w:rPr>
          <w:rFonts w:hint="eastAsia" w:ascii="宋体" w:hAnsi="宋体" w:cs="宋体"/>
          <w:kern w:val="44"/>
          <w:szCs w:val="32"/>
        </w:rPr>
        <w:t>响应文件格式</w:t>
      </w:r>
      <w:r>
        <w:tab/>
      </w:r>
      <w:r>
        <w:fldChar w:fldCharType="begin"/>
      </w:r>
      <w:r>
        <w:instrText xml:space="preserve"> PAGEREF _Toc21628 \h </w:instrText>
      </w:r>
      <w:r>
        <w:fldChar w:fldCharType="separate"/>
      </w:r>
      <w:r>
        <w:t>14</w:t>
      </w:r>
      <w:r>
        <w:fldChar w:fldCharType="end"/>
      </w:r>
      <w:r>
        <w:rPr>
          <w:rFonts w:ascii="华文细黑" w:hAnsi="华文细黑" w:eastAsia="华文细黑"/>
          <w:szCs w:val="28"/>
        </w:rPr>
        <w:fldChar w:fldCharType="end"/>
      </w:r>
    </w:p>
    <w:p w14:paraId="77974A54">
      <w:pPr>
        <w:jc w:val="left"/>
        <w:rPr>
          <w:rFonts w:hint="eastAsia" w:ascii="华文细黑" w:hAnsi="华文细黑" w:eastAsia="华文细黑"/>
          <w:sz w:val="28"/>
          <w:szCs w:val="28"/>
        </w:rPr>
        <w:sectPr>
          <w:pgSz w:w="11906" w:h="16838"/>
          <w:pgMar w:top="1440" w:right="1800" w:bottom="1440" w:left="1800" w:header="851" w:footer="992" w:gutter="0"/>
          <w:cols w:space="720" w:num="1"/>
          <w:docGrid w:type="lines" w:linePitch="312" w:charSpace="0"/>
        </w:sectPr>
      </w:pPr>
      <w:r>
        <w:rPr>
          <w:rFonts w:ascii="华文细黑" w:hAnsi="华文细黑" w:eastAsia="华文细黑"/>
          <w:szCs w:val="28"/>
        </w:rPr>
        <w:fldChar w:fldCharType="end"/>
      </w:r>
    </w:p>
    <w:p w14:paraId="08AF3C71">
      <w:pPr>
        <w:keepNext/>
        <w:keepLines/>
        <w:numPr>
          <w:ilvl w:val="0"/>
          <w:numId w:val="1"/>
        </w:numPr>
        <w:snapToGrid w:val="0"/>
        <w:spacing w:before="340" w:after="330"/>
        <w:ind w:left="0" w:firstLine="0"/>
        <w:jc w:val="center"/>
        <w:outlineLvl w:val="0"/>
        <w:rPr>
          <w:rFonts w:hint="eastAsia" w:ascii="宋体" w:hAnsi="宋体" w:cs="宋体"/>
          <w:b/>
          <w:kern w:val="44"/>
          <w:sz w:val="32"/>
          <w:szCs w:val="32"/>
        </w:rPr>
      </w:pPr>
      <w:bookmarkStart w:id="0" w:name="_Toc10850"/>
      <w:r>
        <w:rPr>
          <w:rFonts w:hint="eastAsia" w:ascii="宋体" w:hAnsi="宋体" w:cs="宋体"/>
          <w:b/>
          <w:kern w:val="44"/>
          <w:sz w:val="32"/>
          <w:szCs w:val="32"/>
        </w:rPr>
        <w:t>供应商</w:t>
      </w:r>
      <w:r>
        <w:rPr>
          <w:rFonts w:ascii="宋体" w:hAnsi="宋体" w:cs="宋体"/>
          <w:b/>
          <w:kern w:val="44"/>
          <w:sz w:val="32"/>
          <w:szCs w:val="32"/>
        </w:rPr>
        <w:t>须知</w:t>
      </w:r>
      <w:bookmarkEnd w:id="0"/>
    </w:p>
    <w:p w14:paraId="461F2371">
      <w:pPr>
        <w:pStyle w:val="3"/>
        <w:numPr>
          <w:ilvl w:val="0"/>
          <w:numId w:val="2"/>
        </w:numPr>
        <w:spacing w:before="100" w:after="100" w:line="360" w:lineRule="auto"/>
        <w:ind w:left="709" w:hanging="567"/>
        <w:rPr>
          <w:rFonts w:hint="eastAsia" w:ascii="宋体" w:hAnsi="宋体"/>
          <w:sz w:val="24"/>
          <w:szCs w:val="24"/>
        </w:rPr>
      </w:pPr>
      <w:bookmarkStart w:id="1" w:name="_Toc93495161"/>
      <w:bookmarkStart w:id="2" w:name="_Toc31816"/>
      <w:r>
        <w:rPr>
          <w:rFonts w:hint="eastAsia" w:ascii="宋体" w:hAnsi="宋体"/>
          <w:sz w:val="24"/>
          <w:szCs w:val="24"/>
        </w:rPr>
        <w:t>定义</w:t>
      </w:r>
      <w:bookmarkEnd w:id="1"/>
      <w:bookmarkEnd w:id="2"/>
    </w:p>
    <w:p w14:paraId="690B5A96">
      <w:pPr>
        <w:pStyle w:val="37"/>
        <w:numPr>
          <w:ilvl w:val="0"/>
          <w:numId w:val="3"/>
        </w:numPr>
        <w:ind w:firstLineChars="0"/>
        <w:rPr>
          <w:vanish/>
          <w:sz w:val="28"/>
          <w:szCs w:val="28"/>
        </w:rPr>
      </w:pPr>
    </w:p>
    <w:p w14:paraId="0FDA659C">
      <w:pPr>
        <w:pStyle w:val="37"/>
        <w:numPr>
          <w:ilvl w:val="0"/>
          <w:numId w:val="3"/>
        </w:numPr>
        <w:ind w:firstLineChars="0"/>
        <w:rPr>
          <w:vanish/>
          <w:sz w:val="28"/>
          <w:szCs w:val="28"/>
        </w:rPr>
      </w:pPr>
    </w:p>
    <w:p w14:paraId="62BC5672">
      <w:pPr>
        <w:pStyle w:val="37"/>
        <w:numPr>
          <w:ilvl w:val="0"/>
          <w:numId w:val="3"/>
        </w:numPr>
        <w:ind w:firstLineChars="0"/>
        <w:rPr>
          <w:vanish/>
          <w:sz w:val="28"/>
          <w:szCs w:val="28"/>
        </w:rPr>
      </w:pPr>
    </w:p>
    <w:p w14:paraId="64B836E2">
      <w:pPr>
        <w:spacing w:line="360" w:lineRule="auto"/>
        <w:ind w:firstLine="480" w:firstLineChars="200"/>
        <w:rPr>
          <w:rFonts w:hint="eastAsia" w:ascii="宋体" w:hAnsi="宋体"/>
          <w:sz w:val="24"/>
        </w:rPr>
      </w:pPr>
      <w:r>
        <w:rPr>
          <w:rFonts w:hint="eastAsia" w:ascii="宋体" w:hAnsi="宋体"/>
          <w:sz w:val="24"/>
        </w:rPr>
        <w:t>平台</w:t>
      </w:r>
      <w:r>
        <w:rPr>
          <w:rFonts w:ascii="宋体" w:hAnsi="宋体"/>
          <w:sz w:val="24"/>
        </w:rPr>
        <w:t>供应商</w:t>
      </w:r>
      <w:r>
        <w:rPr>
          <w:rFonts w:hint="eastAsia" w:ascii="宋体" w:hAnsi="宋体"/>
          <w:sz w:val="24"/>
        </w:rPr>
        <w:t>：</w:t>
      </w:r>
      <w:r>
        <w:rPr>
          <w:rFonts w:ascii="宋体" w:hAnsi="宋体"/>
          <w:sz w:val="24"/>
        </w:rPr>
        <w:t>指经</w:t>
      </w:r>
      <w:r>
        <w:rPr>
          <w:rFonts w:hint="eastAsia" w:ascii="宋体" w:hAnsi="宋体"/>
          <w:sz w:val="24"/>
        </w:rPr>
        <w:t>中燃集团（以下简称集团）</w:t>
      </w:r>
      <w:r>
        <w:rPr>
          <w:rFonts w:ascii="宋体" w:hAnsi="宋体"/>
          <w:sz w:val="24"/>
        </w:rPr>
        <w:t>供应商主管部门入围审批通过后，在集团电子招采平台完成注册的供应商。</w:t>
      </w:r>
    </w:p>
    <w:p w14:paraId="0A9B1537">
      <w:pPr>
        <w:spacing w:line="360" w:lineRule="auto"/>
        <w:ind w:firstLine="480" w:firstLineChars="200"/>
        <w:rPr>
          <w:rFonts w:hint="eastAsia" w:ascii="宋体" w:hAnsi="宋体"/>
          <w:sz w:val="24"/>
        </w:rPr>
      </w:pPr>
      <w:r>
        <w:rPr>
          <w:rFonts w:ascii="宋体" w:hAnsi="宋体"/>
          <w:sz w:val="24"/>
        </w:rPr>
        <w:t>平台供应商参与资格</w:t>
      </w:r>
      <w:r>
        <w:rPr>
          <w:rFonts w:hint="eastAsia" w:ascii="宋体" w:hAnsi="宋体"/>
          <w:sz w:val="24"/>
        </w:rPr>
        <w:t>：</w:t>
      </w:r>
      <w:r>
        <w:rPr>
          <w:rFonts w:ascii="宋体" w:hAnsi="宋体"/>
          <w:sz w:val="24"/>
        </w:rPr>
        <w:t>指供应商被邀请参与报价的资格。</w:t>
      </w:r>
    </w:p>
    <w:p w14:paraId="1BAC9475">
      <w:pPr>
        <w:spacing w:line="360" w:lineRule="auto"/>
        <w:ind w:firstLine="480" w:firstLineChars="200"/>
        <w:rPr>
          <w:rFonts w:hint="eastAsia" w:ascii="宋体" w:hAnsi="宋体"/>
          <w:sz w:val="24"/>
        </w:rPr>
      </w:pPr>
      <w:r>
        <w:rPr>
          <w:rFonts w:hint="eastAsia" w:ascii="宋体" w:hAnsi="宋体"/>
          <w:sz w:val="24"/>
        </w:rPr>
        <w:t>平台供应商</w:t>
      </w:r>
      <w:r>
        <w:rPr>
          <w:rFonts w:ascii="宋体" w:hAnsi="宋体"/>
          <w:sz w:val="24"/>
        </w:rPr>
        <w:t>中选资格</w:t>
      </w:r>
      <w:r>
        <w:rPr>
          <w:rFonts w:hint="eastAsia" w:ascii="宋体" w:hAnsi="宋体"/>
          <w:sz w:val="24"/>
        </w:rPr>
        <w:t>：指</w:t>
      </w:r>
      <w:r>
        <w:rPr>
          <w:rFonts w:ascii="宋体" w:hAnsi="宋体"/>
          <w:sz w:val="24"/>
        </w:rPr>
        <w:t>供应商</w:t>
      </w:r>
      <w:r>
        <w:rPr>
          <w:rFonts w:hint="eastAsia" w:ascii="宋体" w:hAnsi="宋体"/>
          <w:sz w:val="24"/>
        </w:rPr>
        <w:t>报价后</w:t>
      </w:r>
      <w:r>
        <w:rPr>
          <w:rFonts w:ascii="宋体" w:hAnsi="宋体"/>
          <w:sz w:val="24"/>
        </w:rPr>
        <w:t>中选的资格。</w:t>
      </w:r>
    </w:p>
    <w:p w14:paraId="1D319864">
      <w:pPr>
        <w:tabs>
          <w:tab w:val="left" w:pos="993"/>
        </w:tabs>
        <w:adjustRightInd w:val="0"/>
        <w:snapToGrid w:val="0"/>
        <w:spacing w:line="360" w:lineRule="auto"/>
        <w:ind w:firstLine="360" w:firstLineChars="150"/>
        <w:rPr>
          <w:rFonts w:hint="eastAsia" w:ascii="宋体" w:hAnsi="宋体"/>
          <w:sz w:val="24"/>
        </w:rPr>
      </w:pPr>
      <w:r>
        <w:rPr>
          <w:rFonts w:hint="eastAsia" w:ascii="宋体" w:hAnsi="宋体"/>
          <w:sz w:val="24"/>
        </w:rPr>
        <w:t>招标人：指招标采购活动中的各需求单位。</w:t>
      </w:r>
    </w:p>
    <w:p w14:paraId="01077216">
      <w:pPr>
        <w:tabs>
          <w:tab w:val="left" w:pos="993"/>
        </w:tabs>
        <w:adjustRightInd w:val="0"/>
        <w:snapToGrid w:val="0"/>
        <w:spacing w:line="360" w:lineRule="auto"/>
        <w:ind w:firstLine="360" w:firstLineChars="150"/>
        <w:rPr>
          <w:rFonts w:hint="eastAsia" w:ascii="宋体" w:hAnsi="宋体"/>
          <w:sz w:val="24"/>
        </w:rPr>
      </w:pPr>
      <w:r>
        <w:rPr>
          <w:rFonts w:hint="eastAsia" w:ascii="宋体" w:hAnsi="宋体"/>
          <w:sz w:val="24"/>
        </w:rPr>
        <w:t>采购人：指非招标采购活动中的各需求单位。</w:t>
      </w:r>
    </w:p>
    <w:p w14:paraId="1AE2C001">
      <w:pPr>
        <w:tabs>
          <w:tab w:val="left" w:pos="993"/>
        </w:tabs>
        <w:adjustRightInd w:val="0"/>
        <w:snapToGrid w:val="0"/>
        <w:spacing w:line="360" w:lineRule="auto"/>
        <w:ind w:firstLine="360" w:firstLineChars="150"/>
        <w:rPr>
          <w:rFonts w:hint="eastAsia" w:ascii="宋体" w:hAnsi="宋体"/>
          <w:sz w:val="24"/>
        </w:rPr>
      </w:pPr>
      <w:r>
        <w:rPr>
          <w:rFonts w:hint="eastAsia" w:ascii="宋体" w:hAnsi="宋体"/>
          <w:sz w:val="24"/>
        </w:rPr>
        <w:t>投标人：指参加中燃集团招标采购与非招标采购活动的供应商。</w:t>
      </w:r>
    </w:p>
    <w:p w14:paraId="6FA41814">
      <w:pPr>
        <w:spacing w:line="360" w:lineRule="auto"/>
        <w:ind w:firstLine="424" w:firstLineChars="177"/>
        <w:rPr>
          <w:rFonts w:hint="eastAsia" w:ascii="宋体" w:hAnsi="宋体"/>
          <w:sz w:val="24"/>
        </w:rPr>
      </w:pPr>
      <w:r>
        <w:rPr>
          <w:rFonts w:hint="eastAsia" w:ascii="宋体" w:hAnsi="宋体"/>
          <w:sz w:val="24"/>
        </w:rPr>
        <w:t>招标代理人：指宏信供应链服务（深圳）有限公司，负责组织实施职责范围内的各类工程类、货物类及服务类招标采购与非招标采购工作。</w:t>
      </w:r>
    </w:p>
    <w:p w14:paraId="77E41705">
      <w:pPr>
        <w:tabs>
          <w:tab w:val="left" w:pos="993"/>
        </w:tabs>
        <w:adjustRightInd w:val="0"/>
        <w:snapToGrid w:val="0"/>
        <w:spacing w:line="360" w:lineRule="auto"/>
        <w:ind w:firstLine="424" w:firstLineChars="177"/>
        <w:rPr>
          <w:rFonts w:hint="eastAsia" w:ascii="宋体" w:hAnsi="宋体"/>
          <w:sz w:val="24"/>
        </w:rPr>
      </w:pPr>
      <w:r>
        <w:rPr>
          <w:rFonts w:hint="eastAsia" w:ascii="宋体" w:hAnsi="宋体"/>
          <w:sz w:val="24"/>
        </w:rPr>
        <w:t>中标人（或中选人）：指招标人（或采购人）通过招标采购（或非招标采购）方式，经定标确定中标（或中选）的投标人。</w:t>
      </w:r>
    </w:p>
    <w:p w14:paraId="2EE95131">
      <w:pPr>
        <w:pStyle w:val="3"/>
        <w:numPr>
          <w:ilvl w:val="0"/>
          <w:numId w:val="2"/>
        </w:numPr>
        <w:spacing w:before="100" w:after="100" w:line="360" w:lineRule="auto"/>
        <w:ind w:left="709" w:hanging="567"/>
        <w:rPr>
          <w:rFonts w:hint="eastAsia" w:ascii="宋体" w:hAnsi="宋体"/>
          <w:sz w:val="24"/>
          <w:szCs w:val="24"/>
        </w:rPr>
      </w:pPr>
      <w:bookmarkStart w:id="3" w:name="_Toc93495163"/>
      <w:bookmarkStart w:id="4" w:name="_Toc9843"/>
      <w:r>
        <w:rPr>
          <w:rFonts w:hint="eastAsia" w:ascii="宋体" w:hAnsi="宋体"/>
          <w:sz w:val="24"/>
          <w:szCs w:val="24"/>
        </w:rPr>
        <w:t>平台</w:t>
      </w:r>
      <w:r>
        <w:rPr>
          <w:rFonts w:ascii="宋体" w:hAnsi="宋体"/>
          <w:sz w:val="24"/>
          <w:szCs w:val="24"/>
        </w:rPr>
        <w:t>供应商影响信用行为</w:t>
      </w:r>
      <w:r>
        <w:rPr>
          <w:rFonts w:hint="eastAsia" w:ascii="宋体" w:hAnsi="宋体"/>
          <w:sz w:val="24"/>
          <w:szCs w:val="24"/>
        </w:rPr>
        <w:t>及</w:t>
      </w:r>
      <w:r>
        <w:rPr>
          <w:rFonts w:ascii="宋体" w:hAnsi="宋体"/>
          <w:sz w:val="24"/>
          <w:szCs w:val="24"/>
        </w:rPr>
        <w:t>处理办法</w:t>
      </w:r>
      <w:bookmarkEnd w:id="3"/>
      <w:bookmarkEnd w:id="4"/>
    </w:p>
    <w:p w14:paraId="5CC2CC8D">
      <w:pPr>
        <w:pStyle w:val="37"/>
        <w:numPr>
          <w:ilvl w:val="0"/>
          <w:numId w:val="4"/>
        </w:numPr>
        <w:tabs>
          <w:tab w:val="left" w:pos="993"/>
        </w:tabs>
        <w:adjustRightInd w:val="0"/>
        <w:snapToGrid w:val="0"/>
        <w:spacing w:line="360" w:lineRule="auto"/>
        <w:ind w:firstLineChars="0"/>
        <w:rPr>
          <w:vanish/>
          <w:sz w:val="24"/>
        </w:rPr>
      </w:pPr>
    </w:p>
    <w:p w14:paraId="1E8305BE">
      <w:pPr>
        <w:pStyle w:val="37"/>
        <w:numPr>
          <w:ilvl w:val="0"/>
          <w:numId w:val="4"/>
        </w:numPr>
        <w:tabs>
          <w:tab w:val="left" w:pos="993"/>
        </w:tabs>
        <w:adjustRightInd w:val="0"/>
        <w:snapToGrid w:val="0"/>
        <w:spacing w:line="360" w:lineRule="auto"/>
        <w:ind w:firstLineChars="0"/>
        <w:rPr>
          <w:vanish/>
          <w:sz w:val="24"/>
        </w:rPr>
      </w:pPr>
    </w:p>
    <w:p w14:paraId="7FDE3F45">
      <w:pPr>
        <w:pStyle w:val="37"/>
        <w:numPr>
          <w:ilvl w:val="0"/>
          <w:numId w:val="5"/>
        </w:numPr>
        <w:snapToGrid w:val="0"/>
        <w:spacing w:line="360" w:lineRule="auto"/>
        <w:ind w:firstLineChars="0"/>
        <w:rPr>
          <w:rFonts w:hint="eastAsia" w:ascii="宋体" w:hAnsi="宋体"/>
          <w:vanish/>
          <w:sz w:val="24"/>
        </w:rPr>
      </w:pPr>
    </w:p>
    <w:p w14:paraId="33DDDBDE">
      <w:pPr>
        <w:pStyle w:val="37"/>
        <w:numPr>
          <w:ilvl w:val="1"/>
          <w:numId w:val="5"/>
        </w:numPr>
        <w:snapToGrid w:val="0"/>
        <w:spacing w:line="360" w:lineRule="auto"/>
        <w:ind w:left="851" w:hanging="567" w:firstLineChars="0"/>
        <w:rPr>
          <w:rFonts w:hint="eastAsia" w:ascii="宋体" w:hAnsi="宋体"/>
          <w:sz w:val="24"/>
        </w:rPr>
      </w:pPr>
      <w:r>
        <w:rPr>
          <w:rFonts w:hint="eastAsia" w:ascii="宋体" w:hAnsi="宋体"/>
          <w:sz w:val="24"/>
        </w:rPr>
        <w:t>平台</w:t>
      </w:r>
      <w:r>
        <w:rPr>
          <w:rFonts w:ascii="宋体" w:hAnsi="宋体"/>
          <w:sz w:val="24"/>
        </w:rPr>
        <w:t>供应商影响信用行为分如下四种：</w:t>
      </w:r>
    </w:p>
    <w:p w14:paraId="3FF252D4">
      <w:pPr>
        <w:numPr>
          <w:ilvl w:val="0"/>
          <w:numId w:val="6"/>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第一类影响信用行为：邀请类项目不接受邀请累计三次（含），或者接受邀请但不报价累计三次（含）的（非平台供应商原因情况除外、供应商在竞价系统反馈说明原因不参加情况除外）。</w:t>
      </w:r>
    </w:p>
    <w:p w14:paraId="69012021">
      <w:pPr>
        <w:numPr>
          <w:ilvl w:val="0"/>
          <w:numId w:val="6"/>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第二类影响信用行为：平台供应商参与了询价但不参与竞价累计三次（含）的（非供应商原因（如被邀请类别有误，平台供应商本身不具备投标条件）除外、平台供应商参与询价后放弃竞价并在竞价系统反馈说明原因不参加情况除外）。</w:t>
      </w:r>
    </w:p>
    <w:p w14:paraId="72B8EE37">
      <w:pPr>
        <w:numPr>
          <w:ilvl w:val="0"/>
          <w:numId w:val="6"/>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第三类影响信用行为：因疏忽采购文件提示导致报错价格累计一次（含）的（平台供应商针</w:t>
      </w:r>
      <w:r>
        <w:rPr>
          <w:rFonts w:hint="eastAsia" w:ascii="宋体" w:hAnsi="宋体" w:cs="宋体"/>
          <w:sz w:val="24"/>
        </w:rPr>
        <w:t>对</w:t>
      </w:r>
      <w:r>
        <w:rPr>
          <w:rFonts w:ascii="宋体" w:hAnsi="宋体" w:cs="宋体"/>
          <w:sz w:val="24"/>
        </w:rPr>
        <w:t>报价错误问题于3日内已发澄清函给采购人或采购代理说明原因情况除外）。</w:t>
      </w:r>
    </w:p>
    <w:p w14:paraId="6043673F">
      <w:pPr>
        <w:numPr>
          <w:ilvl w:val="0"/>
          <w:numId w:val="6"/>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第四类影响信用行为：</w:t>
      </w:r>
      <w:r>
        <w:rPr>
          <w:rFonts w:hint="eastAsia" w:ascii="宋体" w:hAnsi="宋体" w:cs="宋体"/>
          <w:sz w:val="24"/>
        </w:rPr>
        <w:t>发送中选通知书后，中选人不与采购人订立合同，或者中选人不与采购人按照采购文件</w:t>
      </w:r>
      <w:r>
        <w:rPr>
          <w:rFonts w:ascii="宋体" w:hAnsi="宋体" w:cs="宋体"/>
          <w:sz w:val="24"/>
        </w:rPr>
        <w:t>或</w:t>
      </w:r>
      <w:r>
        <w:rPr>
          <w:rFonts w:hint="eastAsia" w:ascii="宋体" w:hAnsi="宋体" w:cs="宋体"/>
          <w:sz w:val="24"/>
        </w:rPr>
        <w:t>中选人的响应文件订立合同的。</w:t>
      </w:r>
    </w:p>
    <w:p w14:paraId="219746EE">
      <w:pPr>
        <w:pStyle w:val="37"/>
        <w:numPr>
          <w:ilvl w:val="1"/>
          <w:numId w:val="5"/>
        </w:numPr>
        <w:snapToGrid w:val="0"/>
        <w:spacing w:line="360" w:lineRule="auto"/>
        <w:ind w:left="851" w:hanging="567" w:firstLineChars="0"/>
        <w:rPr>
          <w:rFonts w:hint="eastAsia" w:ascii="宋体" w:hAnsi="宋体"/>
          <w:sz w:val="24"/>
        </w:rPr>
      </w:pPr>
      <w:r>
        <w:rPr>
          <w:rFonts w:hint="eastAsia" w:ascii="宋体" w:hAnsi="宋体"/>
          <w:sz w:val="24"/>
        </w:rPr>
        <w:t>平台</w:t>
      </w:r>
      <w:r>
        <w:rPr>
          <w:rFonts w:ascii="宋体" w:hAnsi="宋体"/>
          <w:sz w:val="24"/>
        </w:rPr>
        <w:t>供应商影响信用行为</w:t>
      </w:r>
      <w:r>
        <w:rPr>
          <w:rFonts w:hint="eastAsia" w:ascii="宋体" w:hAnsi="宋体"/>
          <w:sz w:val="24"/>
        </w:rPr>
        <w:t>处理办法</w:t>
      </w:r>
      <w:r>
        <w:rPr>
          <w:rFonts w:ascii="宋体" w:hAnsi="宋体"/>
          <w:sz w:val="24"/>
        </w:rPr>
        <w:t>：</w:t>
      </w:r>
    </w:p>
    <w:p w14:paraId="5C916E01">
      <w:pPr>
        <w:spacing w:line="360" w:lineRule="auto"/>
        <w:ind w:firstLine="480" w:firstLineChars="200"/>
        <w:rPr>
          <w:rFonts w:hint="eastAsia" w:ascii="宋体" w:hAnsi="宋体"/>
          <w:sz w:val="24"/>
        </w:rPr>
      </w:pPr>
      <w:r>
        <w:rPr>
          <w:rFonts w:ascii="宋体" w:hAnsi="宋体"/>
          <w:sz w:val="24"/>
        </w:rPr>
        <w:t>平台供应商影响信用行为视其情节轻重和危害程度，分别给予警告、暂停参与资格、取消资格，以及扣除一定比例投标保证金等处理。</w:t>
      </w:r>
    </w:p>
    <w:p w14:paraId="732F3087">
      <w:pPr>
        <w:spacing w:line="360" w:lineRule="auto"/>
        <w:ind w:firstLine="360" w:firstLineChars="150"/>
        <w:rPr>
          <w:rFonts w:hint="eastAsia" w:ascii="宋体" w:hAnsi="宋体"/>
          <w:sz w:val="24"/>
        </w:rPr>
      </w:pPr>
      <w:r>
        <w:rPr>
          <w:rFonts w:ascii="宋体" w:hAnsi="宋体"/>
          <w:sz w:val="24"/>
        </w:rPr>
        <w:t>“</w:t>
      </w:r>
      <w:r>
        <w:rPr>
          <w:rFonts w:ascii="宋体" w:hAnsi="宋体"/>
          <w:b/>
          <w:bCs/>
          <w:sz w:val="24"/>
        </w:rPr>
        <w:t>警告</w:t>
      </w:r>
      <w:r>
        <w:rPr>
          <w:rFonts w:ascii="宋体" w:hAnsi="宋体"/>
          <w:sz w:val="24"/>
        </w:rPr>
        <w:t>”是指警示平台供应商当前</w:t>
      </w:r>
      <w:r>
        <w:rPr>
          <w:rFonts w:hint="eastAsia" w:ascii="宋体" w:hAnsi="宋体"/>
          <w:sz w:val="24"/>
        </w:rPr>
        <w:t>的</w:t>
      </w:r>
      <w:r>
        <w:rPr>
          <w:rFonts w:ascii="宋体" w:hAnsi="宋体"/>
          <w:sz w:val="24"/>
        </w:rPr>
        <w:t>行为已对平台业务交易存在不良影响，应予以重视并及时改正。</w:t>
      </w:r>
    </w:p>
    <w:p w14:paraId="18039157">
      <w:pPr>
        <w:spacing w:line="360" w:lineRule="auto"/>
        <w:ind w:firstLine="360" w:firstLineChars="150"/>
        <w:rPr>
          <w:rFonts w:hint="eastAsia" w:ascii="宋体" w:hAnsi="宋体"/>
          <w:sz w:val="24"/>
        </w:rPr>
      </w:pPr>
      <w:r>
        <w:rPr>
          <w:rFonts w:ascii="宋体" w:hAnsi="宋体"/>
          <w:sz w:val="24"/>
        </w:rPr>
        <w:t>“</w:t>
      </w:r>
      <w:r>
        <w:rPr>
          <w:rFonts w:ascii="宋体" w:hAnsi="宋体"/>
          <w:b/>
          <w:bCs/>
          <w:sz w:val="24"/>
        </w:rPr>
        <w:t>暂停参与资格</w:t>
      </w:r>
      <w:r>
        <w:rPr>
          <w:rFonts w:ascii="宋体" w:hAnsi="宋体"/>
          <w:sz w:val="24"/>
        </w:rPr>
        <w:t>”是指暂停影响信用行为平台供应商在平台参与招采业务的资格，直至处理期届满并整改验收通过。</w:t>
      </w:r>
    </w:p>
    <w:p w14:paraId="5BCF05A0">
      <w:pPr>
        <w:spacing w:line="360" w:lineRule="auto"/>
        <w:ind w:firstLine="360" w:firstLineChars="150"/>
        <w:rPr>
          <w:rFonts w:hint="eastAsia" w:ascii="宋体" w:hAnsi="宋体"/>
          <w:sz w:val="24"/>
        </w:rPr>
      </w:pPr>
      <w:r>
        <w:rPr>
          <w:rFonts w:ascii="宋体" w:hAnsi="宋体"/>
          <w:sz w:val="24"/>
        </w:rPr>
        <w:t>“</w:t>
      </w:r>
      <w:r>
        <w:rPr>
          <w:rFonts w:ascii="宋体" w:hAnsi="宋体"/>
          <w:b/>
          <w:bCs/>
          <w:sz w:val="24"/>
        </w:rPr>
        <w:t>取消资格</w:t>
      </w:r>
      <w:r>
        <w:rPr>
          <w:rFonts w:ascii="宋体" w:hAnsi="宋体"/>
          <w:sz w:val="24"/>
        </w:rPr>
        <w:t>”是指取消</w:t>
      </w:r>
      <w:r>
        <w:rPr>
          <w:rFonts w:hint="eastAsia" w:ascii="宋体" w:hAnsi="宋体"/>
          <w:sz w:val="24"/>
        </w:rPr>
        <w:t>参与</w:t>
      </w:r>
      <w:r>
        <w:rPr>
          <w:rFonts w:ascii="宋体" w:hAnsi="宋体"/>
          <w:sz w:val="24"/>
        </w:rPr>
        <w:t>平台任何行为的资格，交由集团供应商主部门重新评定是否具备正常参与平台业务的资格。</w:t>
      </w:r>
    </w:p>
    <w:p w14:paraId="21A8C599">
      <w:pPr>
        <w:spacing w:line="360" w:lineRule="auto"/>
        <w:ind w:firstLine="360" w:firstLineChars="150"/>
        <w:rPr>
          <w:rFonts w:hint="eastAsia" w:ascii="宋体" w:hAnsi="宋体"/>
          <w:sz w:val="24"/>
        </w:rPr>
      </w:pPr>
      <w:r>
        <w:rPr>
          <w:rFonts w:ascii="宋体" w:hAnsi="宋体"/>
          <w:sz w:val="24"/>
        </w:rPr>
        <w:t>“</w:t>
      </w:r>
      <w:r>
        <w:rPr>
          <w:rFonts w:ascii="宋体" w:hAnsi="宋体"/>
          <w:b/>
          <w:bCs/>
          <w:sz w:val="24"/>
        </w:rPr>
        <w:t>扣除一定比例投标保证金</w:t>
      </w:r>
      <w:r>
        <w:rPr>
          <w:rFonts w:ascii="宋体" w:hAnsi="宋体"/>
          <w:sz w:val="24"/>
        </w:rPr>
        <w:t>”是指按情节严重</w:t>
      </w:r>
      <w:r>
        <w:rPr>
          <w:rFonts w:hint="eastAsia" w:ascii="宋体" w:hAnsi="宋体"/>
          <w:sz w:val="24"/>
        </w:rPr>
        <w:t>性只向供应商返还一定比例</w:t>
      </w:r>
      <w:r>
        <w:rPr>
          <w:rFonts w:ascii="宋体" w:hAnsi="宋体"/>
          <w:sz w:val="24"/>
        </w:rPr>
        <w:t>的投标保证金，可与其他处理结果并罚。</w:t>
      </w:r>
    </w:p>
    <w:p w14:paraId="4C3C62F8">
      <w:pPr>
        <w:spacing w:line="360" w:lineRule="auto"/>
        <w:ind w:firstLine="360" w:firstLineChars="150"/>
        <w:rPr>
          <w:rFonts w:hint="eastAsia" w:ascii="宋体" w:hAnsi="宋体"/>
          <w:sz w:val="24"/>
        </w:rPr>
      </w:pPr>
      <w:r>
        <w:rPr>
          <w:rFonts w:ascii="宋体" w:hAnsi="宋体"/>
          <w:sz w:val="24"/>
        </w:rPr>
        <w:t>对以上四类影响信用行为，</w:t>
      </w:r>
      <w:r>
        <w:rPr>
          <w:rFonts w:ascii="宋体" w:hAnsi="宋体"/>
          <w:b/>
          <w:bCs/>
          <w:sz w:val="24"/>
        </w:rPr>
        <w:t>处理措施</w:t>
      </w:r>
      <w:r>
        <w:rPr>
          <w:rFonts w:ascii="宋体" w:hAnsi="宋体"/>
          <w:sz w:val="24"/>
        </w:rPr>
        <w:t>如下：</w:t>
      </w:r>
    </w:p>
    <w:p w14:paraId="183B5FB8">
      <w:pPr>
        <w:numPr>
          <w:ilvl w:val="0"/>
          <w:numId w:val="7"/>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对出现第一类</w:t>
      </w:r>
      <w:r>
        <w:rPr>
          <w:rFonts w:hint="eastAsia" w:ascii="宋体" w:hAnsi="宋体" w:cs="宋体"/>
          <w:sz w:val="24"/>
        </w:rPr>
        <w:t>和第二类</w:t>
      </w:r>
      <w:r>
        <w:rPr>
          <w:rFonts w:ascii="宋体" w:hAnsi="宋体" w:cs="宋体"/>
          <w:sz w:val="24"/>
        </w:rPr>
        <w:t>影响信用行为的，给予警告处分。警告后依然出现此类影响信用行为，给予暂停参与资格3个月的处分</w:t>
      </w:r>
      <w:r>
        <w:rPr>
          <w:rFonts w:hint="eastAsia" w:ascii="宋体" w:hAnsi="宋体" w:cs="宋体"/>
          <w:sz w:val="24"/>
        </w:rPr>
        <w:t>，</w:t>
      </w:r>
      <w:r>
        <w:rPr>
          <w:rFonts w:ascii="宋体" w:hAnsi="宋体" w:cs="宋体"/>
          <w:sz w:val="24"/>
        </w:rPr>
        <w:t>暂停期满</w:t>
      </w:r>
      <w:r>
        <w:rPr>
          <w:rFonts w:hint="eastAsia" w:ascii="宋体" w:hAnsi="宋体" w:cs="宋体"/>
          <w:sz w:val="24"/>
        </w:rPr>
        <w:t>后</w:t>
      </w:r>
      <w:r>
        <w:rPr>
          <w:rFonts w:ascii="宋体" w:hAnsi="宋体" w:cs="宋体"/>
          <w:sz w:val="24"/>
        </w:rPr>
        <w:t>恢复该供应商的邀标资格</w:t>
      </w:r>
      <w:r>
        <w:rPr>
          <w:rFonts w:hint="eastAsia" w:ascii="宋体" w:hAnsi="宋体" w:cs="宋体"/>
          <w:sz w:val="24"/>
        </w:rPr>
        <w:t>。</w:t>
      </w:r>
      <w:r>
        <w:rPr>
          <w:rFonts w:ascii="宋体" w:hAnsi="宋体" w:cs="宋体"/>
          <w:sz w:val="24"/>
        </w:rPr>
        <w:t>如一年内警告超过三次，</w:t>
      </w:r>
      <w:r>
        <w:rPr>
          <w:rFonts w:hint="eastAsia" w:ascii="宋体" w:hAnsi="宋体" w:cs="宋体"/>
          <w:sz w:val="24"/>
        </w:rPr>
        <w:t>则取消</w:t>
      </w:r>
      <w:r>
        <w:rPr>
          <w:rFonts w:ascii="宋体" w:hAnsi="宋体" w:cs="宋体"/>
          <w:sz w:val="24"/>
        </w:rPr>
        <w:t>资格。</w:t>
      </w:r>
    </w:p>
    <w:p w14:paraId="10FF8FA4">
      <w:pPr>
        <w:numPr>
          <w:ilvl w:val="0"/>
          <w:numId w:val="7"/>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对出现第三类影响信用行为的，经过核实后按情节严重性，给予警告、警告与扣除50%投标保证金并处、警告与扣除全</w:t>
      </w:r>
      <w:r>
        <w:rPr>
          <w:rFonts w:hint="eastAsia" w:ascii="宋体" w:hAnsi="宋体" w:cs="宋体"/>
          <w:sz w:val="24"/>
        </w:rPr>
        <w:t>部</w:t>
      </w:r>
      <w:r>
        <w:rPr>
          <w:rFonts w:ascii="宋体" w:hAnsi="宋体" w:cs="宋体"/>
          <w:sz w:val="24"/>
        </w:rPr>
        <w:t>投标保证金并处，由集团</w:t>
      </w:r>
      <w:r>
        <w:rPr>
          <w:rFonts w:hint="eastAsia" w:ascii="宋体" w:hAnsi="宋体" w:cs="宋体"/>
          <w:sz w:val="24"/>
        </w:rPr>
        <w:t>招标采购管理部</w:t>
      </w:r>
      <w:r>
        <w:rPr>
          <w:rFonts w:ascii="宋体" w:hAnsi="宋体" w:cs="宋体"/>
          <w:sz w:val="24"/>
        </w:rPr>
        <w:t>出具</w:t>
      </w:r>
      <w:r>
        <w:rPr>
          <w:rFonts w:hint="eastAsia" w:ascii="宋体" w:hAnsi="宋体" w:cs="宋体"/>
          <w:sz w:val="24"/>
        </w:rPr>
        <w:t>具体</w:t>
      </w:r>
      <w:r>
        <w:rPr>
          <w:rFonts w:ascii="宋体" w:hAnsi="宋体" w:cs="宋体"/>
          <w:sz w:val="24"/>
        </w:rPr>
        <w:t>处理意见。</w:t>
      </w:r>
    </w:p>
    <w:p w14:paraId="74E3EDB8">
      <w:pPr>
        <w:numPr>
          <w:ilvl w:val="0"/>
          <w:numId w:val="7"/>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对出现第四类影响信用行为的，交由集团供应商主管部门处理</w:t>
      </w:r>
      <w:r>
        <w:rPr>
          <w:rFonts w:hint="eastAsia" w:ascii="宋体" w:hAnsi="宋体" w:cs="宋体"/>
          <w:sz w:val="24"/>
        </w:rPr>
        <w:t>，</w:t>
      </w:r>
      <w:r>
        <w:rPr>
          <w:rFonts w:ascii="宋体" w:hAnsi="宋体" w:cs="宋体"/>
          <w:sz w:val="24"/>
        </w:rPr>
        <w:t>并</w:t>
      </w:r>
      <w:r>
        <w:rPr>
          <w:rFonts w:hint="eastAsia" w:ascii="宋体" w:hAnsi="宋体" w:cs="宋体"/>
          <w:sz w:val="24"/>
        </w:rPr>
        <w:t>扣除全部投标保证金（适用于不订立合同的情况</w:t>
      </w:r>
      <w:r>
        <w:rPr>
          <w:rFonts w:ascii="宋体" w:hAnsi="宋体" w:cs="宋体"/>
          <w:sz w:val="24"/>
        </w:rPr>
        <w:t>或者已订立合同但合同中未约定第四类影响信用行为的违约金责任的情况</w:t>
      </w:r>
      <w:r>
        <w:rPr>
          <w:rFonts w:hint="eastAsia" w:ascii="宋体" w:hAnsi="宋体" w:cs="宋体"/>
          <w:sz w:val="24"/>
        </w:rPr>
        <w:t>）或</w:t>
      </w:r>
      <w:r>
        <w:rPr>
          <w:rFonts w:ascii="宋体" w:hAnsi="宋体" w:cs="宋体"/>
          <w:sz w:val="24"/>
        </w:rPr>
        <w:t>扣除中标项目金额5‰-10‰的违约金</w:t>
      </w:r>
      <w:r>
        <w:rPr>
          <w:rFonts w:hint="eastAsia" w:ascii="宋体" w:hAnsi="宋体" w:cs="宋体"/>
          <w:sz w:val="24"/>
        </w:rPr>
        <w:t>（适用于不与采购人按照采购文件</w:t>
      </w:r>
      <w:r>
        <w:rPr>
          <w:rFonts w:ascii="宋体" w:hAnsi="宋体" w:cs="宋体"/>
          <w:sz w:val="24"/>
        </w:rPr>
        <w:t>或</w:t>
      </w:r>
      <w:r>
        <w:rPr>
          <w:rFonts w:hint="eastAsia" w:ascii="宋体" w:hAnsi="宋体" w:cs="宋体"/>
          <w:sz w:val="24"/>
        </w:rPr>
        <w:t>中选人的响应文件订立合同</w:t>
      </w:r>
      <w:r>
        <w:rPr>
          <w:rFonts w:ascii="宋体" w:hAnsi="宋体" w:cs="宋体"/>
          <w:sz w:val="24"/>
        </w:rPr>
        <w:t>并且合同中对第四类影响信用行为约定了违约金责任</w:t>
      </w:r>
      <w:r>
        <w:rPr>
          <w:rFonts w:hint="eastAsia" w:ascii="宋体" w:hAnsi="宋体" w:cs="宋体"/>
          <w:sz w:val="24"/>
        </w:rPr>
        <w:t>的情况）</w:t>
      </w:r>
      <w:r>
        <w:rPr>
          <w:rFonts w:ascii="宋体" w:hAnsi="宋体" w:cs="宋体"/>
          <w:sz w:val="24"/>
        </w:rPr>
        <w:t>。</w:t>
      </w:r>
    </w:p>
    <w:p w14:paraId="5496B1DC">
      <w:pPr>
        <w:numPr>
          <w:ilvl w:val="0"/>
          <w:numId w:val="7"/>
        </w:numPr>
        <w:tabs>
          <w:tab w:val="left" w:pos="993"/>
        </w:tabs>
        <w:adjustRightInd w:val="0"/>
        <w:snapToGrid w:val="0"/>
        <w:spacing w:line="360" w:lineRule="auto"/>
        <w:ind w:left="0" w:firstLine="566" w:firstLineChars="236"/>
        <w:rPr>
          <w:rFonts w:hint="eastAsia" w:ascii="宋体" w:hAnsi="宋体" w:cs="宋体"/>
          <w:sz w:val="24"/>
        </w:rPr>
      </w:pPr>
      <w:r>
        <w:rPr>
          <w:rFonts w:ascii="宋体" w:hAnsi="宋体" w:cs="宋体"/>
          <w:sz w:val="24"/>
        </w:rPr>
        <w:t>平台供应商有下列任一情况发生时，投标保证金</w:t>
      </w:r>
      <w:r>
        <w:rPr>
          <w:rFonts w:hint="eastAsia" w:ascii="宋体" w:hAnsi="宋体" w:cs="宋体"/>
          <w:sz w:val="24"/>
        </w:rPr>
        <w:t>将被没收，</w:t>
      </w:r>
      <w:r>
        <w:rPr>
          <w:rFonts w:ascii="宋体" w:hAnsi="宋体" w:cs="宋体"/>
          <w:sz w:val="24"/>
        </w:rPr>
        <w:t>不予退还（参与</w:t>
      </w:r>
      <w:r>
        <w:rPr>
          <w:rFonts w:hint="eastAsia" w:ascii="宋体" w:hAnsi="宋体" w:cs="宋体"/>
          <w:sz w:val="24"/>
        </w:rPr>
        <w:t>宏远公司</w:t>
      </w:r>
      <w:r>
        <w:rPr>
          <w:rFonts w:ascii="宋体" w:hAnsi="宋体" w:cs="宋体"/>
          <w:sz w:val="24"/>
        </w:rPr>
        <w:t>/乐邦公司组织</w:t>
      </w:r>
      <w:r>
        <w:rPr>
          <w:rFonts w:hint="eastAsia" w:ascii="宋体" w:hAnsi="宋体" w:cs="宋体"/>
          <w:sz w:val="24"/>
        </w:rPr>
        <w:t>的</w:t>
      </w:r>
      <w:r>
        <w:rPr>
          <w:rFonts w:ascii="宋体" w:hAnsi="宋体" w:cs="宋体"/>
          <w:sz w:val="24"/>
        </w:rPr>
        <w:t>投标或竞价</w:t>
      </w:r>
      <w:r>
        <w:rPr>
          <w:rFonts w:hint="eastAsia" w:ascii="宋体" w:hAnsi="宋体" w:cs="宋体"/>
          <w:sz w:val="24"/>
        </w:rPr>
        <w:t>的项目除外：</w:t>
      </w:r>
      <w:r>
        <w:rPr>
          <w:rFonts w:ascii="宋体" w:hAnsi="宋体" w:cs="宋体"/>
          <w:sz w:val="24"/>
        </w:rPr>
        <w:t>若平台供应商参与</w:t>
      </w:r>
      <w:r>
        <w:rPr>
          <w:rFonts w:hint="eastAsia" w:ascii="宋体" w:hAnsi="宋体" w:cs="宋体"/>
          <w:sz w:val="24"/>
        </w:rPr>
        <w:t>宏远公司</w:t>
      </w:r>
      <w:r>
        <w:rPr>
          <w:rFonts w:ascii="宋体" w:hAnsi="宋体" w:cs="宋体"/>
          <w:sz w:val="24"/>
        </w:rPr>
        <w:t>/乐邦公司组织</w:t>
      </w:r>
      <w:r>
        <w:rPr>
          <w:rFonts w:hint="eastAsia" w:ascii="宋体" w:hAnsi="宋体" w:cs="宋体"/>
          <w:sz w:val="24"/>
        </w:rPr>
        <w:t>的</w:t>
      </w:r>
      <w:r>
        <w:rPr>
          <w:rFonts w:ascii="宋体" w:hAnsi="宋体" w:cs="宋体"/>
          <w:sz w:val="24"/>
        </w:rPr>
        <w:t>投标或竞价</w:t>
      </w:r>
      <w:r>
        <w:rPr>
          <w:rFonts w:hint="eastAsia" w:ascii="宋体" w:hAnsi="宋体" w:cs="宋体"/>
          <w:sz w:val="24"/>
        </w:rPr>
        <w:t>的项目</w:t>
      </w:r>
      <w:r>
        <w:rPr>
          <w:rFonts w:ascii="宋体" w:hAnsi="宋体" w:cs="宋体"/>
          <w:sz w:val="24"/>
        </w:rPr>
        <w:t>有下列任一情况发生时，按</w:t>
      </w:r>
      <w:r>
        <w:rPr>
          <w:rFonts w:hint="eastAsia" w:ascii="宋体" w:hAnsi="宋体" w:cs="宋体"/>
          <w:sz w:val="24"/>
        </w:rPr>
        <w:t>宏远公司</w:t>
      </w:r>
      <w:r>
        <w:rPr>
          <w:rFonts w:ascii="宋体" w:hAnsi="宋体" w:cs="宋体"/>
          <w:sz w:val="24"/>
        </w:rPr>
        <w:t>/乐邦公司规定从履约保证金中扣除）。给采购人造成的损失超过投标保证金数额的，应当对超</w:t>
      </w:r>
      <w:r>
        <w:rPr>
          <w:rFonts w:hint="eastAsia" w:ascii="宋体" w:hAnsi="宋体" w:cs="宋体"/>
          <w:sz w:val="24"/>
        </w:rPr>
        <w:t>出</w:t>
      </w:r>
      <w:r>
        <w:rPr>
          <w:rFonts w:ascii="宋体" w:hAnsi="宋体" w:cs="宋体"/>
          <w:sz w:val="24"/>
        </w:rPr>
        <w:t>部分予以赔偿；没有提交投标保证金的，应当对采购人的损失承担赔偿责任。</w:t>
      </w:r>
    </w:p>
    <w:p w14:paraId="41B6DD9D">
      <w:pPr>
        <w:pStyle w:val="37"/>
        <w:numPr>
          <w:ilvl w:val="0"/>
          <w:numId w:val="8"/>
        </w:numPr>
        <w:spacing w:line="360" w:lineRule="auto"/>
        <w:ind w:left="1" w:firstLine="139" w:firstLineChars="58"/>
        <w:rPr>
          <w:rFonts w:hint="eastAsia" w:ascii="宋体" w:hAnsi="宋体"/>
          <w:sz w:val="24"/>
        </w:rPr>
      </w:pPr>
      <w:r>
        <w:rPr>
          <w:rFonts w:ascii="宋体" w:hAnsi="宋体"/>
          <w:sz w:val="24"/>
        </w:rPr>
        <w:t>供应商有弄虚作假或串通投标等违法违规行为。</w:t>
      </w:r>
    </w:p>
    <w:p w14:paraId="20DFF752">
      <w:pPr>
        <w:pStyle w:val="37"/>
        <w:numPr>
          <w:ilvl w:val="0"/>
          <w:numId w:val="8"/>
        </w:numPr>
        <w:spacing w:line="360" w:lineRule="auto"/>
        <w:ind w:left="1" w:firstLine="139" w:firstLineChars="58"/>
        <w:rPr>
          <w:rFonts w:hint="eastAsia" w:ascii="宋体" w:hAnsi="宋体"/>
          <w:sz w:val="24"/>
        </w:rPr>
      </w:pPr>
      <w:r>
        <w:rPr>
          <w:rFonts w:ascii="宋体" w:hAnsi="宋体"/>
          <w:sz w:val="24"/>
        </w:rPr>
        <w:t>供应商在采购文件中规定的响应文件有效期内撤回其响应文件。</w:t>
      </w:r>
    </w:p>
    <w:p w14:paraId="260E0E6C">
      <w:pPr>
        <w:pStyle w:val="37"/>
        <w:numPr>
          <w:ilvl w:val="0"/>
          <w:numId w:val="8"/>
        </w:numPr>
        <w:spacing w:line="360" w:lineRule="auto"/>
        <w:ind w:left="1" w:firstLine="139" w:firstLineChars="58"/>
        <w:rPr>
          <w:rFonts w:hint="eastAsia" w:ascii="宋体" w:hAnsi="宋体"/>
          <w:sz w:val="24"/>
        </w:rPr>
      </w:pPr>
      <w:r>
        <w:rPr>
          <w:rFonts w:hint="eastAsia" w:ascii="宋体" w:hAnsi="宋体"/>
          <w:sz w:val="24"/>
        </w:rPr>
        <w:t>恶意低价</w:t>
      </w:r>
      <w:r>
        <w:rPr>
          <w:rFonts w:ascii="宋体" w:hAnsi="宋体"/>
          <w:sz w:val="24"/>
        </w:rPr>
        <w:t>，扰乱</w:t>
      </w:r>
      <w:r>
        <w:rPr>
          <w:rFonts w:hint="eastAsia" w:ascii="宋体" w:hAnsi="宋体"/>
          <w:sz w:val="24"/>
        </w:rPr>
        <w:t>招标</w:t>
      </w:r>
      <w:r>
        <w:rPr>
          <w:rFonts w:ascii="宋体" w:hAnsi="宋体"/>
          <w:sz w:val="24"/>
        </w:rPr>
        <w:t>秩序</w:t>
      </w:r>
      <w:r>
        <w:rPr>
          <w:rFonts w:hint="eastAsia" w:ascii="宋体" w:hAnsi="宋体"/>
          <w:sz w:val="24"/>
        </w:rPr>
        <w:t>。</w:t>
      </w:r>
    </w:p>
    <w:p w14:paraId="6FFC88C3">
      <w:pPr>
        <w:pStyle w:val="37"/>
        <w:numPr>
          <w:ilvl w:val="0"/>
          <w:numId w:val="8"/>
        </w:numPr>
        <w:spacing w:line="360" w:lineRule="auto"/>
        <w:ind w:left="1" w:firstLine="139" w:firstLineChars="58"/>
        <w:rPr>
          <w:rFonts w:hint="eastAsia" w:ascii="宋体" w:hAnsi="宋体"/>
          <w:sz w:val="24"/>
        </w:rPr>
      </w:pPr>
      <w:r>
        <w:rPr>
          <w:rFonts w:ascii="宋体" w:hAnsi="宋体"/>
          <w:sz w:val="24"/>
        </w:rPr>
        <w:t>中选人在收到中选通知书后，不与采购人订立合同的，或者在签订合同时向采购人提出附加条件，或者不按照采购文件要求提交履约保证金的。</w:t>
      </w:r>
    </w:p>
    <w:p w14:paraId="464E7658">
      <w:pPr>
        <w:pStyle w:val="37"/>
        <w:numPr>
          <w:ilvl w:val="0"/>
          <w:numId w:val="8"/>
        </w:numPr>
        <w:spacing w:line="360" w:lineRule="auto"/>
        <w:ind w:left="1" w:firstLine="139" w:firstLineChars="58"/>
        <w:rPr>
          <w:rFonts w:hint="eastAsia" w:ascii="宋体" w:hAnsi="宋体"/>
          <w:sz w:val="24"/>
        </w:rPr>
      </w:pPr>
      <w:r>
        <w:rPr>
          <w:rFonts w:ascii="宋体" w:hAnsi="宋体"/>
          <w:sz w:val="24"/>
        </w:rPr>
        <w:t>平台供应商资质证书或安全生产许可证被暂扣或吊销，但仍参与投标的。</w:t>
      </w:r>
    </w:p>
    <w:p w14:paraId="578CC543">
      <w:pPr>
        <w:pStyle w:val="5"/>
        <w:numPr>
          <w:ilvl w:val="0"/>
          <w:numId w:val="8"/>
        </w:numPr>
        <w:topLinePunct/>
        <w:spacing w:line="360" w:lineRule="auto"/>
        <w:ind w:left="1" w:firstLine="139" w:firstLineChars="58"/>
        <w:rPr>
          <w:rFonts w:hint="eastAsia" w:hAnsi="宋体"/>
        </w:rPr>
      </w:pPr>
      <w:r>
        <w:rPr>
          <w:rFonts w:hint="eastAsia" w:hAnsi="宋体"/>
        </w:rPr>
        <w:t>存在本文件中规定的</w:t>
      </w:r>
      <w:r>
        <w:rPr>
          <w:rFonts w:hint="eastAsia" w:hAnsi="宋体" w:cs="宋体"/>
        </w:rPr>
        <w:t>其他可以不予退还投标保证金的情形</w:t>
      </w:r>
      <w:r>
        <w:rPr>
          <w:rFonts w:hint="eastAsia" w:hAnsi="宋体"/>
        </w:rPr>
        <w:t>。</w:t>
      </w:r>
    </w:p>
    <w:p w14:paraId="1DA1E727">
      <w:pPr>
        <w:pStyle w:val="3"/>
        <w:numPr>
          <w:ilvl w:val="0"/>
          <w:numId w:val="2"/>
        </w:numPr>
        <w:spacing w:before="100" w:after="100" w:line="240" w:lineRule="auto"/>
        <w:ind w:left="709" w:hanging="567"/>
        <w:rPr>
          <w:rFonts w:hint="eastAsia" w:ascii="宋体" w:hAnsi="宋体"/>
          <w:sz w:val="24"/>
          <w:szCs w:val="24"/>
        </w:rPr>
      </w:pPr>
      <w:bookmarkStart w:id="5" w:name="_Toc93495164"/>
      <w:bookmarkStart w:id="6" w:name="_Toc14416"/>
      <w:r>
        <w:rPr>
          <w:rFonts w:hint="eastAsia" w:ascii="宋体" w:hAnsi="宋体"/>
          <w:sz w:val="24"/>
          <w:szCs w:val="24"/>
        </w:rPr>
        <w:t>供应商</w:t>
      </w:r>
      <w:r>
        <w:rPr>
          <w:rFonts w:ascii="宋体" w:hAnsi="宋体"/>
          <w:sz w:val="24"/>
          <w:szCs w:val="24"/>
        </w:rPr>
        <w:t>注意事项</w:t>
      </w:r>
      <w:bookmarkEnd w:id="5"/>
      <w:bookmarkEnd w:id="6"/>
    </w:p>
    <w:p w14:paraId="688E3CFB">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供应商缴纳保证金之前，请务必在招采平台“采购项目公告-确认邀请函”中点击接受邀请。</w:t>
      </w:r>
    </w:p>
    <w:p w14:paraId="1A60905D">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供应商应密切留意采购文件的更新情况，根据最后一次发布的采购文件制作响应文件。如因使用旧版采购文件制作响应文件而造成不利于供应商后果的，责任由供应商自负（供应商提交的响应文件若并非对应采购人最新发布的采购文件制作的，可能出现报价被否决等后果）。</w:t>
      </w:r>
    </w:p>
    <w:p w14:paraId="2108A7A9">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各参与竞价单位应根据自身的成本核算、产能、资金实力、销售服务网络等因素综合考虑，量力而行，我司原则上尊重竞价结果，但拒绝不切实际的恶意低价。恶意低价将被没收投标保证金并按照《中国燃气供应商奖惩管理办法》处理（详见附件）。</w:t>
      </w:r>
    </w:p>
    <w:p w14:paraId="6C780767">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原则上产品满足中燃技术规格书要求、且价格未严重偏离市场价的竞价为有效报价。原则上不再进行二次认价和谈判</w:t>
      </w:r>
      <w:r>
        <w:rPr>
          <w:rFonts w:ascii="宋体" w:hAnsi="宋体" w:cs="宋体"/>
          <w:sz w:val="24"/>
        </w:rPr>
        <w:t>,</w:t>
      </w:r>
      <w:r>
        <w:rPr>
          <w:rFonts w:hint="eastAsia" w:ascii="宋体" w:hAnsi="宋体" w:cs="宋体"/>
          <w:sz w:val="24"/>
        </w:rPr>
        <w:t>按照</w:t>
      </w:r>
      <w:r>
        <w:rPr>
          <w:rFonts w:ascii="宋体" w:hAnsi="宋体" w:cs="宋体"/>
          <w:sz w:val="24"/>
        </w:rPr>
        <w:t>定标原则</w:t>
      </w:r>
      <w:r>
        <w:rPr>
          <w:rFonts w:hint="eastAsia" w:ascii="宋体" w:hAnsi="宋体" w:cs="宋体"/>
          <w:sz w:val="24"/>
        </w:rPr>
        <w:t>分配市场份额。</w:t>
      </w:r>
    </w:p>
    <w:p w14:paraId="477CF330">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我司原则上不接受供应商对本项目采购所附技术规格书进行任何技术偏离。针对采购文件（包含但不限于技术规格书）及其附件的疑问，供应商应在规定时间内在招采平台上提起采购项目异议，否则视为接受采购文件及其附件的所有条款。此外，对于供应商提出的技术偏离，我司有权不接受并根据偏离情况做出相应处理（包括但不限于废标）。</w:t>
      </w:r>
    </w:p>
    <w:p w14:paraId="64F50102">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如响应供应商因产品抽检或现场考察不合格、未按采购文件要求报价、或其他原因导致的不能供应或被我司判定为无效报价，则竞价结果按名次顺延。最终竞价结果以我司评审审批最终结果为准，不服从我司最终公示结果的将被没收投标保证金并按照《中国燃气供应商奖惩管理办法》处理（详见附件）。</w:t>
      </w:r>
    </w:p>
    <w:p w14:paraId="698A8BFE">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供应商一旦中选，选择性地（或附带条件地）接受中选结果或不能保证及时供货的供应商，将被没收投标保证金并按照《中国燃气供应商奖惩管理办法》处理（详见附件）。</w:t>
      </w:r>
    </w:p>
    <w:p w14:paraId="5632A5E3">
      <w:pPr>
        <w:numPr>
          <w:ilvl w:val="0"/>
          <w:numId w:val="9"/>
        </w:numPr>
        <w:tabs>
          <w:tab w:val="left" w:pos="993"/>
        </w:tabs>
        <w:adjustRightInd w:val="0"/>
        <w:snapToGrid w:val="0"/>
        <w:spacing w:line="360" w:lineRule="auto"/>
        <w:ind w:left="0" w:firstLine="424" w:firstLineChars="177"/>
        <w:rPr>
          <w:rFonts w:hint="eastAsia" w:ascii="宋体" w:hAnsi="宋体" w:cs="宋体"/>
          <w:sz w:val="24"/>
        </w:rPr>
      </w:pPr>
      <w:r>
        <w:rPr>
          <w:rFonts w:hint="eastAsia" w:ascii="宋体" w:hAnsi="宋体" w:cs="宋体"/>
          <w:sz w:val="24"/>
        </w:rPr>
        <w:t>招标结果公示截止日期后，中标单位应在5个自然日内缴纳成交服务费并与采购人完成合同签订，逾期视为自动放弃中选资格，将被没收投标保证金并按照《中国燃气供应商奖惩管理办法》处理（详见附件）。</w:t>
      </w:r>
    </w:p>
    <w:p w14:paraId="4627C1BB">
      <w:pPr>
        <w:pStyle w:val="37"/>
        <w:numPr>
          <w:ilvl w:val="0"/>
          <w:numId w:val="10"/>
        </w:numPr>
        <w:ind w:firstLineChars="0"/>
        <w:rPr>
          <w:vanish/>
          <w:sz w:val="28"/>
          <w:szCs w:val="28"/>
        </w:rPr>
      </w:pPr>
    </w:p>
    <w:p w14:paraId="66726837">
      <w:pPr>
        <w:pStyle w:val="37"/>
        <w:numPr>
          <w:ilvl w:val="0"/>
          <w:numId w:val="10"/>
        </w:numPr>
        <w:ind w:firstLineChars="0"/>
        <w:rPr>
          <w:vanish/>
          <w:sz w:val="28"/>
          <w:szCs w:val="28"/>
        </w:rPr>
      </w:pPr>
    </w:p>
    <w:p w14:paraId="56FD8971">
      <w:pPr>
        <w:pStyle w:val="37"/>
        <w:numPr>
          <w:ilvl w:val="0"/>
          <w:numId w:val="10"/>
        </w:numPr>
        <w:ind w:firstLineChars="0"/>
        <w:rPr>
          <w:vanish/>
          <w:sz w:val="28"/>
          <w:szCs w:val="28"/>
        </w:rPr>
      </w:pPr>
    </w:p>
    <w:p w14:paraId="1943D2D0">
      <w:pPr>
        <w:pStyle w:val="3"/>
        <w:numPr>
          <w:ilvl w:val="0"/>
          <w:numId w:val="2"/>
        </w:numPr>
        <w:spacing w:before="100" w:after="100" w:line="240" w:lineRule="auto"/>
        <w:ind w:left="709" w:hanging="567"/>
        <w:rPr>
          <w:rFonts w:hint="eastAsia" w:ascii="宋体" w:hAnsi="宋体"/>
          <w:sz w:val="28"/>
          <w:szCs w:val="28"/>
        </w:rPr>
      </w:pPr>
      <w:bookmarkStart w:id="7" w:name="_Toc16846"/>
      <w:r>
        <w:rPr>
          <w:rFonts w:hint="eastAsia" w:ascii="宋体" w:hAnsi="宋体"/>
          <w:sz w:val="28"/>
          <w:szCs w:val="28"/>
        </w:rPr>
        <w:t>问题</w:t>
      </w:r>
      <w:r>
        <w:rPr>
          <w:rFonts w:ascii="宋体" w:hAnsi="宋体"/>
          <w:sz w:val="28"/>
          <w:szCs w:val="28"/>
        </w:rPr>
        <w:t>咨询与反馈</w:t>
      </w:r>
      <w:bookmarkEnd w:id="7"/>
    </w:p>
    <w:p w14:paraId="3F3A82B0">
      <w:pPr>
        <w:numPr>
          <w:ilvl w:val="0"/>
          <w:numId w:val="11"/>
        </w:numPr>
        <w:spacing w:line="360" w:lineRule="auto"/>
        <w:ind w:hanging="616"/>
        <w:rPr>
          <w:rFonts w:hint="eastAsia" w:ascii="宋体" w:hAnsi="宋体"/>
          <w:sz w:val="24"/>
        </w:rPr>
      </w:pPr>
      <w:r>
        <w:rPr>
          <w:rFonts w:hint="eastAsia" w:ascii="宋体" w:hAnsi="宋体"/>
          <w:sz w:val="24"/>
        </w:rPr>
        <w:t>中燃集团</w:t>
      </w:r>
      <w:r>
        <w:rPr>
          <w:rFonts w:ascii="宋体" w:hAnsi="宋体"/>
          <w:sz w:val="24"/>
        </w:rPr>
        <w:t>招标</w:t>
      </w:r>
      <w:r>
        <w:rPr>
          <w:rFonts w:hint="eastAsia" w:ascii="宋体" w:hAnsi="宋体"/>
          <w:sz w:val="24"/>
        </w:rPr>
        <w:t>采购</w:t>
      </w:r>
      <w:r>
        <w:rPr>
          <w:rFonts w:ascii="宋体" w:hAnsi="宋体"/>
          <w:sz w:val="24"/>
        </w:rPr>
        <w:t>管理部</w:t>
      </w:r>
      <w:r>
        <w:rPr>
          <w:rFonts w:hint="eastAsia" w:ascii="宋体" w:hAnsi="宋体"/>
          <w:sz w:val="24"/>
        </w:rPr>
        <w:t>电子</w:t>
      </w:r>
      <w:r>
        <w:rPr>
          <w:rFonts w:ascii="宋体" w:hAnsi="宋体"/>
          <w:sz w:val="24"/>
        </w:rPr>
        <w:t>邮箱：</w:t>
      </w:r>
      <w:r>
        <w:fldChar w:fldCharType="begin"/>
      </w:r>
      <w:r>
        <w:instrText xml:space="preserve"> HYPERLINK "mailto:384wzcg@chinagasholdings.com" </w:instrText>
      </w:r>
      <w:r>
        <w:fldChar w:fldCharType="separate"/>
      </w:r>
      <w:r>
        <w:rPr>
          <w:rFonts w:hint="eastAsia" w:ascii="宋体" w:hAnsi="宋体"/>
          <w:sz w:val="24"/>
        </w:rPr>
        <w:t>384wzcg@chinagasholdings.com</w:t>
      </w:r>
      <w:r>
        <w:rPr>
          <w:rFonts w:hint="eastAsia" w:ascii="宋体" w:hAnsi="宋体"/>
          <w:sz w:val="24"/>
        </w:rPr>
        <w:fldChar w:fldCharType="end"/>
      </w:r>
      <w:r>
        <w:rPr>
          <w:rFonts w:hint="eastAsia" w:ascii="宋体" w:hAnsi="宋体"/>
          <w:sz w:val="24"/>
        </w:rPr>
        <w:t>。</w:t>
      </w:r>
    </w:p>
    <w:p w14:paraId="51184556">
      <w:pPr>
        <w:numPr>
          <w:ilvl w:val="0"/>
          <w:numId w:val="11"/>
        </w:numPr>
        <w:spacing w:line="360" w:lineRule="auto"/>
        <w:ind w:hanging="616"/>
        <w:rPr>
          <w:rFonts w:hint="eastAsia" w:ascii="宋体" w:hAnsi="宋体"/>
          <w:sz w:val="24"/>
        </w:rPr>
      </w:pPr>
      <w:r>
        <w:rPr>
          <w:rFonts w:hint="eastAsia" w:ascii="宋体" w:hAnsi="宋体"/>
          <w:sz w:val="24"/>
        </w:rPr>
        <w:t>招采平台网址：https://zrzbcg.chinagasholdings.com/。</w:t>
      </w:r>
    </w:p>
    <w:p w14:paraId="54954CF2">
      <w:pPr>
        <w:numPr>
          <w:ilvl w:val="0"/>
          <w:numId w:val="11"/>
        </w:numPr>
        <w:spacing w:line="360" w:lineRule="auto"/>
        <w:ind w:hanging="616"/>
        <w:rPr>
          <w:rFonts w:hint="eastAsia" w:ascii="宋体" w:hAnsi="宋体"/>
          <w:sz w:val="24"/>
        </w:rPr>
      </w:pPr>
      <w:r>
        <w:rPr>
          <w:rFonts w:hint="eastAsia" w:ascii="宋体" w:hAnsi="宋体"/>
          <w:sz w:val="24"/>
        </w:rPr>
        <w:t>电话咨询：0755-23370555</w:t>
      </w:r>
    </w:p>
    <w:p w14:paraId="57CA413A">
      <w:pPr>
        <w:pStyle w:val="3"/>
        <w:numPr>
          <w:ilvl w:val="0"/>
          <w:numId w:val="2"/>
        </w:numPr>
        <w:spacing w:before="100" w:after="100" w:line="360" w:lineRule="auto"/>
        <w:ind w:left="709" w:hanging="567"/>
        <w:rPr>
          <w:rFonts w:hint="eastAsia" w:ascii="宋体" w:hAnsi="宋体"/>
          <w:sz w:val="24"/>
          <w:szCs w:val="24"/>
        </w:rPr>
      </w:pPr>
      <w:bookmarkStart w:id="8" w:name="_Toc22405"/>
      <w:r>
        <w:rPr>
          <w:rFonts w:hint="eastAsia" w:ascii="宋体" w:hAnsi="宋体"/>
          <w:sz w:val="24"/>
          <w:szCs w:val="24"/>
        </w:rPr>
        <w:t>投诉与</w:t>
      </w:r>
      <w:r>
        <w:rPr>
          <w:rFonts w:ascii="宋体" w:hAnsi="宋体"/>
          <w:sz w:val="24"/>
          <w:szCs w:val="24"/>
        </w:rPr>
        <w:t>举报</w:t>
      </w:r>
      <w:bookmarkEnd w:id="8"/>
    </w:p>
    <w:p w14:paraId="2280B066">
      <w:pPr>
        <w:spacing w:line="360" w:lineRule="auto"/>
        <w:ind w:left="900"/>
        <w:rPr>
          <w:rFonts w:hint="eastAsia" w:ascii="宋体" w:hAnsi="宋体"/>
          <w:sz w:val="24"/>
        </w:rPr>
      </w:pPr>
      <w:r>
        <w:rPr>
          <w:rFonts w:hint="eastAsia" w:ascii="宋体" w:hAnsi="宋体"/>
          <w:sz w:val="24"/>
        </w:rPr>
        <w:t>中燃</w:t>
      </w:r>
      <w:r>
        <w:rPr>
          <w:rFonts w:ascii="宋体" w:hAnsi="宋体"/>
          <w:sz w:val="24"/>
        </w:rPr>
        <w:t>集团</w:t>
      </w:r>
      <w:r>
        <w:rPr>
          <w:rFonts w:hint="eastAsia" w:ascii="宋体" w:hAnsi="宋体"/>
          <w:sz w:val="24"/>
        </w:rPr>
        <w:t>审计</w:t>
      </w:r>
      <w:r>
        <w:rPr>
          <w:rFonts w:ascii="宋体" w:hAnsi="宋体"/>
          <w:sz w:val="24"/>
        </w:rPr>
        <w:t>监察部</w:t>
      </w:r>
      <w:r>
        <w:rPr>
          <w:rFonts w:hint="eastAsia" w:ascii="宋体" w:hAnsi="宋体"/>
          <w:sz w:val="24"/>
        </w:rPr>
        <w:t>举报电话</w:t>
      </w:r>
      <w:r>
        <w:rPr>
          <w:rFonts w:ascii="宋体" w:hAnsi="宋体"/>
          <w:sz w:val="24"/>
        </w:rPr>
        <w:t>：</w:t>
      </w:r>
      <w:r>
        <w:rPr>
          <w:rFonts w:hint="eastAsia" w:ascii="宋体" w:hAnsi="宋体"/>
          <w:sz w:val="24"/>
        </w:rPr>
        <w:t>0755</w:t>
      </w:r>
      <w:r>
        <w:rPr>
          <w:rFonts w:ascii="宋体" w:hAnsi="宋体"/>
          <w:sz w:val="24"/>
        </w:rPr>
        <w:t>-82900670</w:t>
      </w:r>
    </w:p>
    <w:p w14:paraId="6722BB54">
      <w:pPr>
        <w:spacing w:line="360" w:lineRule="auto"/>
        <w:ind w:left="900"/>
        <w:rPr>
          <w:rFonts w:hint="eastAsia" w:ascii="宋体" w:hAnsi="宋体"/>
          <w:sz w:val="24"/>
        </w:rPr>
      </w:pPr>
      <w:r>
        <w:rPr>
          <w:rFonts w:hint="eastAsia" w:ascii="宋体" w:hAnsi="宋体"/>
          <w:sz w:val="24"/>
        </w:rPr>
        <w:t>中燃集团审计</w:t>
      </w:r>
      <w:r>
        <w:rPr>
          <w:rFonts w:ascii="宋体" w:hAnsi="宋体"/>
          <w:sz w:val="24"/>
        </w:rPr>
        <w:t>监察部</w:t>
      </w:r>
      <w:r>
        <w:rPr>
          <w:rFonts w:hint="eastAsia" w:ascii="宋体" w:hAnsi="宋体"/>
          <w:sz w:val="24"/>
        </w:rPr>
        <w:t>举报</w:t>
      </w:r>
      <w:r>
        <w:rPr>
          <w:rFonts w:ascii="宋体" w:hAnsi="宋体"/>
          <w:sz w:val="24"/>
        </w:rPr>
        <w:t>邮箱：</w:t>
      </w:r>
      <w:r>
        <w:fldChar w:fldCharType="begin"/>
      </w:r>
      <w:r>
        <w:instrText xml:space="preserve"> HYPERLINK "mailto:384shenji@chinagasholdings.com" </w:instrText>
      </w:r>
      <w:r>
        <w:fldChar w:fldCharType="separate"/>
      </w:r>
      <w:r>
        <w:rPr>
          <w:rFonts w:hint="eastAsia" w:ascii="宋体" w:hAnsi="宋体"/>
          <w:sz w:val="24"/>
        </w:rPr>
        <w:t>384</w:t>
      </w:r>
      <w:r>
        <w:rPr>
          <w:rFonts w:ascii="宋体" w:hAnsi="宋体"/>
          <w:sz w:val="24"/>
        </w:rPr>
        <w:t>shenji@chinagasholdings.com</w:t>
      </w:r>
      <w:r>
        <w:rPr>
          <w:rFonts w:ascii="宋体" w:hAnsi="宋体"/>
          <w:sz w:val="24"/>
        </w:rPr>
        <w:fldChar w:fldCharType="end"/>
      </w:r>
    </w:p>
    <w:p w14:paraId="38DABB0D">
      <w:pPr>
        <w:spacing w:line="360" w:lineRule="auto"/>
        <w:ind w:left="900"/>
        <w:rPr>
          <w:rFonts w:hint="eastAsia" w:ascii="宋体" w:hAnsi="宋体"/>
          <w:sz w:val="24"/>
        </w:rPr>
      </w:pPr>
      <w:r>
        <w:rPr>
          <w:rFonts w:hint="eastAsia" w:ascii="宋体" w:hAnsi="宋体"/>
          <w:sz w:val="24"/>
        </w:rPr>
        <w:t>信件</w:t>
      </w:r>
      <w:r>
        <w:rPr>
          <w:rFonts w:ascii="宋体" w:hAnsi="宋体"/>
          <w:sz w:val="24"/>
        </w:rPr>
        <w:t>举报地址：</w:t>
      </w:r>
      <w:r>
        <w:rPr>
          <w:rFonts w:hint="eastAsia" w:ascii="宋体" w:hAnsi="宋体"/>
          <w:sz w:val="24"/>
        </w:rPr>
        <w:t>广东省</w:t>
      </w:r>
      <w:r>
        <w:rPr>
          <w:rFonts w:ascii="宋体" w:hAnsi="宋体"/>
          <w:sz w:val="24"/>
        </w:rPr>
        <w:t>深圳市罗湖区笋岗街道梅园路188号中国燃气大厦35楼-</w:t>
      </w:r>
      <w:r>
        <w:rPr>
          <w:rFonts w:hint="eastAsia" w:ascii="宋体" w:hAnsi="宋体"/>
          <w:sz w:val="24"/>
        </w:rPr>
        <w:t>审计</w:t>
      </w:r>
      <w:r>
        <w:rPr>
          <w:rFonts w:ascii="宋体" w:hAnsi="宋体"/>
          <w:sz w:val="24"/>
        </w:rPr>
        <w:t>监察部（</w:t>
      </w:r>
      <w:r>
        <w:rPr>
          <w:rFonts w:hint="eastAsia" w:ascii="宋体" w:hAnsi="宋体"/>
          <w:sz w:val="24"/>
        </w:rPr>
        <w:t>反腐办</w:t>
      </w:r>
      <w:r>
        <w:rPr>
          <w:rFonts w:ascii="宋体" w:hAnsi="宋体"/>
          <w:sz w:val="24"/>
        </w:rPr>
        <w:t>）</w:t>
      </w:r>
    </w:p>
    <w:p w14:paraId="380880D4">
      <w:pPr>
        <w:spacing w:line="360" w:lineRule="auto"/>
        <w:ind w:firstLine="840" w:firstLineChars="350"/>
        <w:rPr>
          <w:rFonts w:hint="eastAsia" w:ascii="宋体" w:hAnsi="宋体"/>
          <w:sz w:val="24"/>
        </w:rPr>
      </w:pPr>
    </w:p>
    <w:p w14:paraId="2DC69ADC"/>
    <w:p w14:paraId="471AE9A3">
      <w:pPr>
        <w:widowControl/>
        <w:jc w:val="left"/>
      </w:pPr>
      <w:r>
        <w:br w:type="page"/>
      </w:r>
    </w:p>
    <w:p w14:paraId="13F30B8F">
      <w:pPr>
        <w:keepNext/>
        <w:keepLines/>
        <w:numPr>
          <w:ilvl w:val="0"/>
          <w:numId w:val="1"/>
        </w:numPr>
        <w:snapToGrid w:val="0"/>
        <w:spacing w:before="340" w:after="330"/>
        <w:ind w:left="0" w:firstLine="0"/>
        <w:jc w:val="center"/>
        <w:outlineLvl w:val="0"/>
        <w:rPr>
          <w:rFonts w:hint="eastAsia" w:ascii="宋体" w:hAnsi="宋体" w:cs="宋体"/>
          <w:b/>
          <w:kern w:val="44"/>
          <w:sz w:val="32"/>
          <w:szCs w:val="32"/>
        </w:rPr>
      </w:pPr>
      <w:bookmarkStart w:id="9" w:name="_Toc29052"/>
      <w:r>
        <w:rPr>
          <w:rFonts w:hint="eastAsia" w:ascii="宋体" w:hAnsi="宋体" w:cs="宋体"/>
          <w:b/>
          <w:kern w:val="44"/>
          <w:sz w:val="32"/>
          <w:szCs w:val="32"/>
        </w:rPr>
        <w:t>采购邀请</w:t>
      </w:r>
      <w:bookmarkEnd w:id="9"/>
    </w:p>
    <w:p w14:paraId="166324A3">
      <w:pPr>
        <w:spacing w:line="360" w:lineRule="auto"/>
        <w:ind w:firstLine="600" w:firstLineChars="250"/>
        <w:rPr>
          <w:rFonts w:hint="eastAsia" w:ascii="宋体" w:hAnsi="宋体" w:cs="宋体"/>
          <w:bCs/>
          <w:kern w:val="0"/>
          <w:sz w:val="24"/>
        </w:rPr>
      </w:pPr>
      <w:r>
        <w:rPr>
          <w:rFonts w:hint="eastAsia" w:ascii="宋体" w:hAnsi="宋体" w:cs="宋体"/>
          <w:bCs/>
          <w:kern w:val="0"/>
          <w:sz w:val="24"/>
        </w:rPr>
        <w:t>现</w:t>
      </w:r>
      <w:r>
        <w:rPr>
          <w:rFonts w:ascii="宋体" w:hAnsi="宋体" w:cs="宋体"/>
          <w:bCs/>
          <w:kern w:val="0"/>
          <w:sz w:val="24"/>
        </w:rPr>
        <w:t>邀请贵公司参加</w:t>
      </w:r>
      <w:r>
        <w:rPr>
          <w:rFonts w:hint="eastAsia" w:ascii="宋体" w:hAnsi="宋体" w:cs="宋体"/>
          <w:bCs/>
          <w:kern w:val="0"/>
          <w:sz w:val="24"/>
        </w:rPr>
        <w:t xml:space="preserve"> </w:t>
      </w:r>
      <w:r>
        <w:rPr>
          <w:rFonts w:hint="eastAsia" w:ascii="宋体" w:hAnsi="宋体" w:cs="宋体"/>
          <w:bCs/>
          <w:kern w:val="0"/>
          <w:sz w:val="24"/>
          <w:u w:val="single"/>
        </w:rPr>
        <w:t xml:space="preserve"> </w:t>
      </w:r>
      <w:r>
        <w:rPr>
          <w:rFonts w:hint="eastAsia" w:ascii="宋体" w:hAnsi="宋体" w:cs="宋体"/>
          <w:bCs/>
          <w:kern w:val="0"/>
          <w:sz w:val="24"/>
          <w:highlight w:val="none"/>
          <w:u w:val="single"/>
          <w:lang w:val="en-US" w:eastAsia="zh-CN"/>
        </w:rPr>
        <w:t>秦皇岛</w:t>
      </w:r>
      <w:r>
        <w:rPr>
          <w:rFonts w:hint="eastAsia" w:ascii="宋体" w:hAnsi="宋体" w:cs="宋体"/>
          <w:bCs/>
          <w:kern w:val="0"/>
          <w:sz w:val="24"/>
          <w:highlight w:val="none"/>
          <w:u w:val="single"/>
        </w:rPr>
        <w:t>中燃超声波流量计</w:t>
      </w:r>
      <w:r>
        <w:rPr>
          <w:rFonts w:hint="eastAsia" w:ascii="宋体" w:hAnsi="宋体" w:cs="宋体"/>
          <w:bCs/>
          <w:kern w:val="0"/>
          <w:sz w:val="24"/>
          <w:highlight w:val="none"/>
          <w:u w:val="single"/>
          <w:lang w:val="en-US" w:eastAsia="zh-CN"/>
        </w:rPr>
        <w:t>招标竞</w:t>
      </w:r>
      <w:r>
        <w:rPr>
          <w:rFonts w:hint="eastAsia" w:ascii="宋体" w:hAnsi="宋体" w:cs="宋体"/>
          <w:bCs/>
          <w:kern w:val="0"/>
          <w:sz w:val="24"/>
          <w:highlight w:val="none"/>
        </w:rPr>
        <w:t>价。</w:t>
      </w:r>
    </w:p>
    <w:p w14:paraId="4FA67821">
      <w:pPr>
        <w:pStyle w:val="3"/>
        <w:numPr>
          <w:ilvl w:val="0"/>
          <w:numId w:val="12"/>
        </w:numPr>
        <w:spacing w:before="100" w:after="100" w:line="240" w:lineRule="auto"/>
        <w:ind w:left="567" w:hanging="567"/>
        <w:rPr>
          <w:rFonts w:hint="eastAsia" w:ascii="宋体" w:hAnsi="宋体"/>
          <w:sz w:val="24"/>
          <w:szCs w:val="24"/>
        </w:rPr>
      </w:pPr>
      <w:bookmarkStart w:id="10" w:name="_Toc32047"/>
      <w:r>
        <w:rPr>
          <w:rFonts w:hint="eastAsia" w:ascii="宋体" w:hAnsi="宋体"/>
          <w:sz w:val="24"/>
          <w:szCs w:val="24"/>
        </w:rPr>
        <w:t>采购</w:t>
      </w:r>
      <w:r>
        <w:rPr>
          <w:rFonts w:ascii="宋体" w:hAnsi="宋体"/>
          <w:sz w:val="24"/>
          <w:szCs w:val="24"/>
        </w:rPr>
        <w:t>需求</w:t>
      </w:r>
      <w:bookmarkEnd w:id="10"/>
    </w:p>
    <w:p w14:paraId="107249FE">
      <w:pPr>
        <w:pStyle w:val="37"/>
        <w:numPr>
          <w:ilvl w:val="0"/>
          <w:numId w:val="13"/>
        </w:numPr>
        <w:spacing w:line="360" w:lineRule="auto"/>
        <w:ind w:left="1" w:firstLine="139" w:firstLineChars="58"/>
        <w:rPr>
          <w:rFonts w:hint="eastAsia" w:ascii="宋体" w:hAnsi="宋体" w:cs="宋体"/>
          <w:bCs/>
          <w:kern w:val="0"/>
          <w:sz w:val="24"/>
        </w:rPr>
      </w:pPr>
      <w:r>
        <w:rPr>
          <w:rFonts w:hint="eastAsia" w:ascii="宋体" w:hAnsi="宋体" w:cs="宋体"/>
          <w:bCs/>
          <w:kern w:val="0"/>
          <w:sz w:val="24"/>
        </w:rPr>
        <w:t>采购</w:t>
      </w:r>
      <w:r>
        <w:rPr>
          <w:rFonts w:ascii="宋体" w:hAnsi="宋体" w:cs="宋体"/>
          <w:bCs/>
          <w:kern w:val="0"/>
          <w:sz w:val="24"/>
        </w:rPr>
        <w:t>内容：</w:t>
      </w:r>
    </w:p>
    <w:tbl>
      <w:tblPr>
        <w:tblStyle w:val="14"/>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1"/>
        <w:gridCol w:w="1417"/>
        <w:gridCol w:w="2693"/>
        <w:gridCol w:w="993"/>
        <w:gridCol w:w="850"/>
      </w:tblGrid>
      <w:tr w14:paraId="6B87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01811EBB">
            <w:pPr>
              <w:spacing w:line="360" w:lineRule="auto"/>
              <w:jc w:val="center"/>
              <w:rPr>
                <w:rFonts w:hint="eastAsia" w:ascii="宋体" w:hAnsi="宋体"/>
                <w:sz w:val="24"/>
              </w:rPr>
            </w:pPr>
            <w:r>
              <w:rPr>
                <w:rFonts w:hint="eastAsia" w:ascii="宋体" w:hAnsi="宋体"/>
                <w:sz w:val="24"/>
              </w:rPr>
              <w:t>序号</w:t>
            </w:r>
          </w:p>
        </w:tc>
        <w:tc>
          <w:tcPr>
            <w:tcW w:w="1271" w:type="dxa"/>
          </w:tcPr>
          <w:p w14:paraId="5AF83C38">
            <w:pPr>
              <w:spacing w:line="360" w:lineRule="auto"/>
              <w:jc w:val="center"/>
              <w:rPr>
                <w:rFonts w:hint="eastAsia" w:ascii="宋体" w:hAnsi="宋体"/>
                <w:sz w:val="24"/>
              </w:rPr>
            </w:pPr>
            <w:r>
              <w:rPr>
                <w:rFonts w:hint="eastAsia" w:ascii="宋体" w:hAnsi="宋体"/>
                <w:sz w:val="24"/>
              </w:rPr>
              <w:t>物资</w:t>
            </w:r>
            <w:r>
              <w:rPr>
                <w:rFonts w:ascii="宋体" w:hAnsi="宋体"/>
                <w:sz w:val="24"/>
              </w:rPr>
              <w:t>编码</w:t>
            </w:r>
          </w:p>
        </w:tc>
        <w:tc>
          <w:tcPr>
            <w:tcW w:w="1417" w:type="dxa"/>
            <w:vAlign w:val="center"/>
          </w:tcPr>
          <w:p w14:paraId="355F415C">
            <w:pPr>
              <w:spacing w:line="360" w:lineRule="auto"/>
              <w:jc w:val="center"/>
              <w:rPr>
                <w:rFonts w:hint="eastAsia" w:ascii="宋体" w:hAnsi="宋体"/>
                <w:sz w:val="24"/>
              </w:rPr>
            </w:pPr>
            <w:r>
              <w:rPr>
                <w:rFonts w:hint="eastAsia" w:ascii="宋体" w:hAnsi="宋体"/>
                <w:sz w:val="24"/>
              </w:rPr>
              <w:t>物资名称</w:t>
            </w:r>
          </w:p>
        </w:tc>
        <w:tc>
          <w:tcPr>
            <w:tcW w:w="2693" w:type="dxa"/>
            <w:vAlign w:val="center"/>
          </w:tcPr>
          <w:p w14:paraId="4BDE1F2C">
            <w:pPr>
              <w:spacing w:line="360" w:lineRule="auto"/>
              <w:jc w:val="center"/>
              <w:rPr>
                <w:rFonts w:hint="eastAsia" w:ascii="宋体" w:hAnsi="宋体"/>
                <w:sz w:val="24"/>
              </w:rPr>
            </w:pPr>
            <w:r>
              <w:rPr>
                <w:rFonts w:hint="eastAsia" w:ascii="宋体" w:hAnsi="宋体"/>
                <w:sz w:val="24"/>
              </w:rPr>
              <w:t>技术参数、</w:t>
            </w:r>
            <w:r>
              <w:rPr>
                <w:rFonts w:ascii="宋体" w:hAnsi="宋体"/>
                <w:sz w:val="24"/>
              </w:rPr>
              <w:t>品牌</w:t>
            </w:r>
            <w:r>
              <w:rPr>
                <w:rFonts w:hint="eastAsia" w:ascii="宋体" w:hAnsi="宋体"/>
                <w:sz w:val="24"/>
              </w:rPr>
              <w:t>等要求</w:t>
            </w:r>
          </w:p>
        </w:tc>
        <w:tc>
          <w:tcPr>
            <w:tcW w:w="993" w:type="dxa"/>
            <w:vAlign w:val="center"/>
          </w:tcPr>
          <w:p w14:paraId="1B66F755">
            <w:pPr>
              <w:spacing w:line="360" w:lineRule="auto"/>
              <w:jc w:val="center"/>
              <w:rPr>
                <w:rFonts w:hint="eastAsia" w:ascii="宋体" w:hAnsi="宋体"/>
                <w:sz w:val="24"/>
              </w:rPr>
            </w:pPr>
            <w:r>
              <w:rPr>
                <w:rFonts w:hint="eastAsia" w:ascii="宋体" w:hAnsi="宋体"/>
                <w:sz w:val="24"/>
              </w:rPr>
              <w:t>数量</w:t>
            </w:r>
          </w:p>
        </w:tc>
        <w:tc>
          <w:tcPr>
            <w:tcW w:w="850" w:type="dxa"/>
            <w:vAlign w:val="center"/>
          </w:tcPr>
          <w:p w14:paraId="4CE5B4E1">
            <w:pPr>
              <w:spacing w:line="360" w:lineRule="auto"/>
              <w:jc w:val="center"/>
              <w:rPr>
                <w:rFonts w:hint="eastAsia" w:ascii="宋体" w:hAnsi="宋体"/>
                <w:sz w:val="24"/>
              </w:rPr>
            </w:pPr>
            <w:r>
              <w:rPr>
                <w:rFonts w:hint="eastAsia" w:ascii="宋体" w:hAnsi="宋体"/>
                <w:sz w:val="24"/>
              </w:rPr>
              <w:t>单位</w:t>
            </w:r>
          </w:p>
        </w:tc>
      </w:tr>
      <w:tr w14:paraId="64EE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D1E58B2">
            <w:pPr>
              <w:spacing w:line="360" w:lineRule="auto"/>
              <w:jc w:val="center"/>
              <w:rPr>
                <w:rFonts w:hint="eastAsia" w:ascii="宋体" w:hAnsi="宋体"/>
                <w:sz w:val="24"/>
              </w:rPr>
            </w:pPr>
            <w:r>
              <w:rPr>
                <w:rFonts w:hint="eastAsia" w:ascii="宋体" w:hAnsi="宋体"/>
                <w:sz w:val="24"/>
              </w:rPr>
              <w:t>1</w:t>
            </w:r>
          </w:p>
        </w:tc>
        <w:tc>
          <w:tcPr>
            <w:tcW w:w="1271" w:type="dxa"/>
          </w:tcPr>
          <w:p w14:paraId="66EA9263">
            <w:pPr>
              <w:spacing w:line="360" w:lineRule="auto"/>
              <w:jc w:val="center"/>
              <w:rPr>
                <w:rFonts w:hint="eastAsia" w:ascii="宋体" w:hAnsi="宋体"/>
                <w:sz w:val="24"/>
              </w:rPr>
            </w:pPr>
            <w:r>
              <w:rPr>
                <w:rFonts w:ascii="宋体" w:hAnsi="宋体"/>
                <w:sz w:val="24"/>
              </w:rPr>
              <w:t>1006</w:t>
            </w:r>
            <w:r>
              <w:rPr>
                <w:rFonts w:hint="eastAsia" w:ascii="宋体" w:hAnsi="宋体"/>
                <w:sz w:val="24"/>
              </w:rPr>
              <w:t>9058</w:t>
            </w:r>
          </w:p>
        </w:tc>
        <w:tc>
          <w:tcPr>
            <w:tcW w:w="1417" w:type="dxa"/>
            <w:vAlign w:val="center"/>
          </w:tcPr>
          <w:p w14:paraId="49DE0B38">
            <w:pPr>
              <w:spacing w:line="360" w:lineRule="auto"/>
              <w:jc w:val="center"/>
              <w:rPr>
                <w:rFonts w:hint="eastAsia" w:ascii="宋体" w:hAnsi="宋体"/>
                <w:sz w:val="24"/>
              </w:rPr>
            </w:pPr>
            <w:r>
              <w:rPr>
                <w:rFonts w:hint="eastAsia" w:ascii="宋体" w:hAnsi="宋体"/>
                <w:sz w:val="24"/>
              </w:rPr>
              <w:t>超声波流量计_DN250_铝合金_1.6Mpa_1.5_国产_GB/T 18604_四声道</w:t>
            </w:r>
          </w:p>
        </w:tc>
        <w:tc>
          <w:tcPr>
            <w:tcW w:w="2693" w:type="dxa"/>
            <w:vAlign w:val="center"/>
          </w:tcPr>
          <w:p w14:paraId="5C5BC973">
            <w:pPr>
              <w:spacing w:line="360" w:lineRule="auto"/>
              <w:jc w:val="center"/>
              <w:rPr>
                <w:rFonts w:hint="eastAsia" w:ascii="宋体" w:hAnsi="宋体"/>
                <w:sz w:val="24"/>
              </w:rPr>
            </w:pPr>
            <w:r>
              <w:rPr>
                <w:rFonts w:hint="eastAsia" w:ascii="宋体" w:hAnsi="宋体"/>
                <w:sz w:val="24"/>
              </w:rPr>
              <w:t>详见规格书、无品牌要求</w:t>
            </w:r>
          </w:p>
        </w:tc>
        <w:tc>
          <w:tcPr>
            <w:tcW w:w="993" w:type="dxa"/>
            <w:vAlign w:val="center"/>
          </w:tcPr>
          <w:p w14:paraId="31FC3B44">
            <w:pPr>
              <w:spacing w:line="360" w:lineRule="auto"/>
              <w:jc w:val="center"/>
              <w:rPr>
                <w:rFonts w:hint="eastAsia" w:ascii="宋体" w:hAnsi="宋体"/>
                <w:sz w:val="24"/>
              </w:rPr>
            </w:pPr>
            <w:r>
              <w:rPr>
                <w:rFonts w:hint="eastAsia" w:ascii="宋体" w:hAnsi="宋体"/>
                <w:sz w:val="24"/>
              </w:rPr>
              <w:t>2</w:t>
            </w:r>
          </w:p>
        </w:tc>
        <w:tc>
          <w:tcPr>
            <w:tcW w:w="850" w:type="dxa"/>
            <w:vAlign w:val="center"/>
          </w:tcPr>
          <w:p w14:paraId="73164C8B">
            <w:pPr>
              <w:spacing w:line="360" w:lineRule="auto"/>
              <w:jc w:val="center"/>
              <w:rPr>
                <w:rFonts w:hint="eastAsia" w:ascii="宋体" w:hAnsi="宋体"/>
                <w:sz w:val="24"/>
              </w:rPr>
            </w:pPr>
            <w:r>
              <w:rPr>
                <w:rFonts w:hint="eastAsia" w:ascii="宋体" w:hAnsi="宋体"/>
                <w:sz w:val="24"/>
              </w:rPr>
              <w:t>台</w:t>
            </w:r>
          </w:p>
        </w:tc>
      </w:tr>
    </w:tbl>
    <w:p w14:paraId="6A1667C3">
      <w:pPr>
        <w:pStyle w:val="37"/>
        <w:numPr>
          <w:ilvl w:val="0"/>
          <w:numId w:val="13"/>
        </w:numPr>
        <w:spacing w:line="360" w:lineRule="auto"/>
        <w:ind w:left="1" w:firstLine="139" w:firstLineChars="58"/>
        <w:rPr>
          <w:rFonts w:hint="eastAsia" w:ascii="宋体" w:hAnsi="宋体" w:cs="宋体"/>
          <w:bCs/>
          <w:kern w:val="0"/>
          <w:sz w:val="24"/>
          <w:u w:val="single"/>
        </w:rPr>
      </w:pPr>
      <w:r>
        <w:rPr>
          <w:rFonts w:hint="eastAsia" w:ascii="宋体" w:hAnsi="宋体" w:cs="宋体"/>
          <w:bCs/>
          <w:kern w:val="0"/>
          <w:sz w:val="24"/>
        </w:rPr>
        <w:t>供货地点</w:t>
      </w:r>
      <w:r>
        <w:rPr>
          <w:rFonts w:ascii="宋体" w:hAnsi="宋体" w:cs="宋体"/>
          <w:bCs/>
          <w:kern w:val="0"/>
          <w:sz w:val="24"/>
        </w:rPr>
        <w:t>：</w:t>
      </w:r>
      <w:r>
        <w:rPr>
          <w:rFonts w:hint="eastAsia" w:ascii="宋体" w:hAnsi="宋体" w:cs="宋体"/>
          <w:bCs/>
          <w:kern w:val="0"/>
          <w:sz w:val="24"/>
          <w:u w:val="single"/>
        </w:rPr>
        <w:t xml:space="preserve"> </w:t>
      </w:r>
      <w:r>
        <w:rPr>
          <w:rFonts w:hint="eastAsia" w:ascii="宋体" w:hAnsi="宋体" w:cs="宋体"/>
          <w:bCs/>
          <w:kern w:val="0"/>
          <w:sz w:val="24"/>
          <w:u w:val="single"/>
          <w:lang w:val="en-US" w:eastAsia="zh-CN"/>
        </w:rPr>
        <w:t>河北秦皇岛</w:t>
      </w:r>
      <w:r>
        <w:rPr>
          <w:rFonts w:hint="eastAsia" w:ascii="宋体" w:hAnsi="宋体" w:cs="宋体"/>
          <w:bCs/>
          <w:kern w:val="0"/>
          <w:sz w:val="24"/>
          <w:u w:val="single"/>
        </w:rPr>
        <w:t xml:space="preserve">  </w:t>
      </w:r>
      <w:r>
        <w:rPr>
          <w:rFonts w:ascii="宋体" w:hAnsi="宋体" w:cs="宋体"/>
          <w:bCs/>
          <w:kern w:val="0"/>
          <w:sz w:val="24"/>
          <w:u w:val="single"/>
        </w:rPr>
        <w:t xml:space="preserve">                                         </w:t>
      </w:r>
    </w:p>
    <w:p w14:paraId="7C5AFE0C">
      <w:pPr>
        <w:pStyle w:val="37"/>
        <w:numPr>
          <w:ilvl w:val="0"/>
          <w:numId w:val="13"/>
        </w:numPr>
        <w:spacing w:line="360" w:lineRule="auto"/>
        <w:ind w:left="1" w:firstLine="139" w:firstLineChars="58"/>
        <w:rPr>
          <w:rFonts w:hint="eastAsia" w:ascii="宋体" w:hAnsi="宋体" w:cs="宋体"/>
          <w:bCs/>
          <w:kern w:val="0"/>
          <w:sz w:val="24"/>
        </w:rPr>
      </w:pPr>
      <w:r>
        <w:rPr>
          <w:rFonts w:hint="eastAsia" w:ascii="宋体" w:hAnsi="宋体" w:cs="宋体"/>
          <w:bCs/>
          <w:kern w:val="0"/>
          <w:sz w:val="24"/>
        </w:rPr>
        <w:t>供货时间</w:t>
      </w:r>
      <w:r>
        <w:rPr>
          <w:rFonts w:ascii="宋体" w:hAnsi="宋体" w:cs="宋体"/>
          <w:bCs/>
          <w:kern w:val="0"/>
          <w:sz w:val="24"/>
        </w:rPr>
        <w:t>：</w:t>
      </w:r>
      <w:r>
        <w:rPr>
          <w:rFonts w:hint="eastAsia" w:ascii="宋体" w:hAnsi="宋体" w:cs="宋体"/>
          <w:bCs/>
          <w:kern w:val="0"/>
          <w:sz w:val="24"/>
          <w:u w:val="single"/>
        </w:rPr>
        <w:t xml:space="preserve">  </w:t>
      </w:r>
      <w:r>
        <w:rPr>
          <w:rFonts w:hint="eastAsia" w:ascii="宋体" w:hAnsi="宋体" w:cs="宋体"/>
          <w:bCs/>
          <w:kern w:val="0"/>
          <w:sz w:val="24"/>
          <w:highlight w:val="none"/>
          <w:u w:val="single"/>
        </w:rPr>
        <w:t>2026年</w:t>
      </w:r>
      <w:r>
        <w:rPr>
          <w:rFonts w:hint="eastAsia" w:ascii="宋体" w:hAnsi="宋体" w:cs="宋体"/>
          <w:bCs/>
          <w:kern w:val="0"/>
          <w:sz w:val="24"/>
          <w:highlight w:val="none"/>
          <w:u w:val="single"/>
          <w:lang w:val="en-US" w:eastAsia="zh-CN"/>
        </w:rPr>
        <w:t>4月25</w:t>
      </w:r>
      <w:r>
        <w:rPr>
          <w:rFonts w:hint="eastAsia" w:ascii="宋体" w:hAnsi="宋体" w:cs="宋体"/>
          <w:bCs/>
          <w:kern w:val="0"/>
          <w:sz w:val="24"/>
          <w:highlight w:val="none"/>
          <w:u w:val="single"/>
        </w:rPr>
        <w:t xml:space="preserve">日前   </w:t>
      </w:r>
      <w:r>
        <w:rPr>
          <w:rFonts w:hint="eastAsia" w:ascii="宋体" w:hAnsi="宋体" w:cs="宋体"/>
          <w:bCs/>
          <w:kern w:val="0"/>
          <w:sz w:val="24"/>
          <w:u w:val="single"/>
        </w:rPr>
        <w:t xml:space="preserve">         </w:t>
      </w:r>
      <w:r>
        <w:rPr>
          <w:rFonts w:ascii="宋体" w:hAnsi="宋体" w:cs="宋体"/>
          <w:bCs/>
          <w:kern w:val="0"/>
          <w:sz w:val="24"/>
          <w:u w:val="single"/>
        </w:rPr>
        <w:t xml:space="preserve">    </w:t>
      </w:r>
      <w:r>
        <w:rPr>
          <w:rFonts w:hint="eastAsia" w:ascii="宋体" w:hAnsi="宋体" w:cs="宋体"/>
          <w:bCs/>
          <w:kern w:val="0"/>
          <w:sz w:val="24"/>
          <w:u w:val="single"/>
        </w:rPr>
        <w:t xml:space="preserve">                    </w:t>
      </w:r>
      <w:r>
        <w:rPr>
          <w:rFonts w:ascii="宋体" w:hAnsi="宋体" w:cs="宋体"/>
          <w:bCs/>
          <w:kern w:val="0"/>
          <w:sz w:val="24"/>
          <w:u w:val="single"/>
        </w:rPr>
        <w:t xml:space="preserve">         </w:t>
      </w:r>
    </w:p>
    <w:p w14:paraId="576BFD02">
      <w:pPr>
        <w:pStyle w:val="37"/>
        <w:numPr>
          <w:ilvl w:val="0"/>
          <w:numId w:val="13"/>
        </w:numPr>
        <w:spacing w:line="360" w:lineRule="auto"/>
        <w:ind w:left="1" w:firstLine="139" w:firstLineChars="58"/>
        <w:rPr>
          <w:rFonts w:hint="eastAsia" w:ascii="宋体" w:hAnsi="宋体" w:cs="宋体"/>
          <w:bCs/>
          <w:kern w:val="0"/>
          <w:sz w:val="24"/>
        </w:rPr>
      </w:pPr>
      <w:r>
        <w:rPr>
          <w:rFonts w:hint="eastAsia" w:ascii="宋体" w:hAnsi="宋体" w:cs="宋体"/>
          <w:bCs/>
          <w:kern w:val="0"/>
          <w:sz w:val="24"/>
        </w:rPr>
        <w:t>其他</w:t>
      </w:r>
      <w:r>
        <w:rPr>
          <w:rFonts w:ascii="宋体" w:hAnsi="宋体" w:cs="宋体"/>
          <w:bCs/>
          <w:kern w:val="0"/>
          <w:sz w:val="24"/>
        </w:rPr>
        <w:t>需求：</w:t>
      </w:r>
      <w:r>
        <w:rPr>
          <w:rFonts w:hint="eastAsia" w:ascii="宋体" w:hAnsi="宋体" w:cs="宋体"/>
          <w:bCs/>
          <w:kern w:val="0"/>
          <w:sz w:val="24"/>
          <w:u w:val="single"/>
        </w:rPr>
        <w:t xml:space="preserve"> 见第三章：技术及供货要求</w:t>
      </w:r>
      <w:r>
        <w:rPr>
          <w:rFonts w:hint="eastAsia" w:ascii="宋体" w:hAnsi="宋体" w:cs="宋体"/>
          <w:bCs/>
          <w:kern w:val="0"/>
          <w:sz w:val="24"/>
        </w:rPr>
        <w:t>。</w:t>
      </w:r>
    </w:p>
    <w:p w14:paraId="6BF12704">
      <w:pPr>
        <w:pStyle w:val="3"/>
        <w:numPr>
          <w:ilvl w:val="0"/>
          <w:numId w:val="12"/>
        </w:numPr>
        <w:spacing w:before="100" w:after="100" w:line="240" w:lineRule="auto"/>
        <w:ind w:left="567" w:hanging="567"/>
        <w:rPr>
          <w:rFonts w:hint="eastAsia" w:ascii="宋体" w:hAnsi="宋体"/>
          <w:sz w:val="24"/>
          <w:szCs w:val="24"/>
        </w:rPr>
      </w:pPr>
      <w:bookmarkStart w:id="11" w:name="_Toc19588"/>
      <w:r>
        <w:rPr>
          <w:rFonts w:hint="eastAsia" w:ascii="宋体" w:hAnsi="宋体"/>
          <w:sz w:val="24"/>
          <w:szCs w:val="24"/>
        </w:rPr>
        <w:t>采购</w:t>
      </w:r>
      <w:r>
        <w:rPr>
          <w:rFonts w:ascii="宋体" w:hAnsi="宋体"/>
          <w:sz w:val="24"/>
          <w:szCs w:val="24"/>
        </w:rPr>
        <w:t>文件的获取</w:t>
      </w:r>
      <w:bookmarkEnd w:id="11"/>
    </w:p>
    <w:p w14:paraId="767BDFB1">
      <w:pPr>
        <w:widowControl/>
        <w:tabs>
          <w:tab w:val="left" w:pos="0"/>
        </w:tabs>
        <w:spacing w:line="360" w:lineRule="auto"/>
        <w:ind w:firstLine="480" w:firstLineChars="200"/>
        <w:rPr>
          <w:rFonts w:hint="eastAsia" w:ascii="宋体" w:hAnsi="宋体" w:cs="宋体"/>
          <w:kern w:val="0"/>
          <w:sz w:val="24"/>
        </w:rPr>
      </w:pPr>
      <w:r>
        <w:rPr>
          <w:rFonts w:hint="eastAsia" w:ascii="宋体" w:hAnsi="宋体" w:cs="宋体"/>
          <w:kern w:val="0"/>
          <w:sz w:val="24"/>
        </w:rPr>
        <w:t>供应商收到本项目竞价邀请后，请于</w:t>
      </w:r>
      <w:r>
        <w:rPr>
          <w:rFonts w:ascii="宋体" w:hAnsi="宋体"/>
          <w:sz w:val="24"/>
        </w:rPr>
        <w:t>邀请</w:t>
      </w:r>
      <w:r>
        <w:rPr>
          <w:rFonts w:hint="eastAsia" w:ascii="宋体" w:hAnsi="宋体"/>
          <w:sz w:val="24"/>
        </w:rPr>
        <w:t>开始时间至邀请截止时间（详见招采平台显示时间，北京时间，下同）</w:t>
      </w:r>
      <w:r>
        <w:rPr>
          <w:rFonts w:hint="eastAsia" w:ascii="宋体" w:hAnsi="宋体" w:cs="宋体"/>
          <w:kern w:val="0"/>
          <w:sz w:val="24"/>
        </w:rPr>
        <w:t>，凭CA数字证书登录招采平台“</w:t>
      </w:r>
      <w:r>
        <w:rPr>
          <w:rFonts w:hint="eastAsia" w:ascii="宋体" w:hAnsi="宋体" w:cs="宋体"/>
          <w:b/>
          <w:bCs/>
          <w:kern w:val="0"/>
          <w:sz w:val="24"/>
        </w:rPr>
        <w:t>我是投标人-非招标系统供应商登录入口-</w:t>
      </w:r>
      <w:r>
        <w:rPr>
          <w:rFonts w:ascii="宋体" w:hAnsi="宋体" w:cs="宋体"/>
          <w:b/>
          <w:bCs/>
          <w:kern w:val="0"/>
          <w:sz w:val="24"/>
        </w:rPr>
        <w:t>供应商</w:t>
      </w:r>
      <w:r>
        <w:rPr>
          <w:rFonts w:hint="eastAsia" w:ascii="宋体" w:hAnsi="宋体" w:cs="宋体"/>
          <w:b/>
          <w:bCs/>
          <w:kern w:val="0"/>
          <w:sz w:val="24"/>
        </w:rPr>
        <w:t>专区</w:t>
      </w:r>
      <w:r>
        <w:rPr>
          <w:rFonts w:hint="eastAsia" w:ascii="宋体" w:hAnsi="宋体" w:cs="宋体"/>
          <w:kern w:val="0"/>
          <w:sz w:val="24"/>
        </w:rPr>
        <w:t>”，</w:t>
      </w:r>
      <w:r>
        <w:rPr>
          <w:rFonts w:ascii="宋体" w:hAnsi="宋体" w:cs="宋体"/>
          <w:kern w:val="0"/>
          <w:sz w:val="24"/>
        </w:rPr>
        <w:t>在“</w:t>
      </w:r>
      <w:r>
        <w:rPr>
          <w:rFonts w:hint="eastAsia" w:ascii="宋体" w:hAnsi="宋体" w:cs="宋体"/>
          <w:kern w:val="0"/>
          <w:sz w:val="24"/>
        </w:rPr>
        <w:t>竞价</w:t>
      </w:r>
      <w:r>
        <w:rPr>
          <w:rFonts w:ascii="宋体" w:hAnsi="宋体" w:cs="宋体"/>
          <w:kern w:val="0"/>
          <w:sz w:val="24"/>
        </w:rPr>
        <w:t>采购管理”</w:t>
      </w:r>
      <w:r>
        <w:rPr>
          <w:rFonts w:hint="eastAsia" w:ascii="宋体" w:hAnsi="宋体" w:cs="宋体"/>
          <w:kern w:val="0"/>
          <w:sz w:val="24"/>
        </w:rPr>
        <w:t>处</w:t>
      </w:r>
      <w:r>
        <w:rPr>
          <w:rFonts w:ascii="宋体" w:hAnsi="宋体" w:cs="宋体"/>
          <w:kern w:val="0"/>
          <w:sz w:val="24"/>
        </w:rPr>
        <w:t>查看本项目，</w:t>
      </w:r>
      <w:r>
        <w:rPr>
          <w:rFonts w:hint="eastAsia" w:ascii="宋体" w:hAnsi="宋体" w:cs="宋体"/>
          <w:kern w:val="0"/>
          <w:sz w:val="24"/>
        </w:rPr>
        <w:t>接受邀请并获取采购文件及其他资料。</w:t>
      </w:r>
    </w:p>
    <w:p w14:paraId="4300CB10">
      <w:pPr>
        <w:pStyle w:val="3"/>
        <w:numPr>
          <w:ilvl w:val="0"/>
          <w:numId w:val="12"/>
        </w:numPr>
        <w:spacing w:before="100" w:after="100" w:line="240" w:lineRule="auto"/>
        <w:ind w:left="567" w:hanging="567"/>
        <w:rPr>
          <w:rFonts w:hint="eastAsia" w:ascii="宋体" w:hAnsi="宋体"/>
          <w:sz w:val="24"/>
          <w:szCs w:val="24"/>
        </w:rPr>
      </w:pPr>
      <w:bookmarkStart w:id="12" w:name="_Toc18857"/>
      <w:r>
        <w:rPr>
          <w:rFonts w:hint="eastAsia" w:ascii="宋体" w:hAnsi="宋体"/>
          <w:sz w:val="24"/>
          <w:szCs w:val="24"/>
        </w:rPr>
        <w:t>最高</w:t>
      </w:r>
      <w:r>
        <w:rPr>
          <w:rFonts w:ascii="宋体" w:hAnsi="宋体"/>
          <w:sz w:val="24"/>
          <w:szCs w:val="24"/>
        </w:rPr>
        <w:t>限价</w:t>
      </w:r>
      <w:r>
        <w:rPr>
          <w:rFonts w:hint="eastAsia" w:ascii="宋体" w:hAnsi="宋体"/>
          <w:sz w:val="24"/>
          <w:szCs w:val="24"/>
        </w:rPr>
        <w:t>（系数）</w:t>
      </w:r>
      <w:bookmarkEnd w:id="12"/>
    </w:p>
    <w:p w14:paraId="54E79505">
      <w:pPr>
        <w:pStyle w:val="37"/>
        <w:numPr>
          <w:ilvl w:val="0"/>
          <w:numId w:val="14"/>
        </w:numPr>
        <w:spacing w:line="360" w:lineRule="auto"/>
        <w:ind w:hanging="616" w:firstLineChars="0"/>
        <w:rPr>
          <w:rFonts w:hint="eastAsia" w:ascii="宋体" w:hAnsi="宋体" w:cs="宋体"/>
          <w:sz w:val="24"/>
        </w:rPr>
      </w:pPr>
      <w:r>
        <w:rPr>
          <w:rFonts w:hint="eastAsia" w:ascii="宋体" w:hAnsi="宋体" w:cs="宋体"/>
          <w:sz w:val="24"/>
        </w:rPr>
        <w:t>最高限价类型</w:t>
      </w:r>
    </w:p>
    <w:p w14:paraId="598301BF">
      <w:pPr>
        <w:pStyle w:val="37"/>
        <w:numPr>
          <w:ilvl w:val="0"/>
          <w:numId w:val="15"/>
        </w:numPr>
        <w:spacing w:line="360" w:lineRule="auto"/>
        <w:ind w:left="851" w:hanging="284" w:firstLineChars="0"/>
        <w:rPr>
          <w:rFonts w:hint="eastAsia" w:ascii="宋体" w:hAnsi="宋体" w:cs="宋体"/>
          <w:sz w:val="24"/>
        </w:rPr>
      </w:pPr>
      <w:r>
        <w:rPr>
          <w:rFonts w:ascii="宋体" w:hAnsi="宋体" w:cs="宋体"/>
          <w:sz w:val="24"/>
        </w:rPr>
        <w:t>是否</w:t>
      </w:r>
      <w:r>
        <w:rPr>
          <w:rFonts w:hint="eastAsia" w:ascii="宋体" w:hAnsi="宋体" w:cs="宋体"/>
          <w:sz w:val="24"/>
        </w:rPr>
        <w:t>设置最高限价：</w:t>
      </w:r>
    </w:p>
    <w:p w14:paraId="65C3D649">
      <w:pPr>
        <w:pStyle w:val="5"/>
        <w:topLinePunct/>
        <w:spacing w:line="360" w:lineRule="auto"/>
        <w:ind w:left="491" w:leftChars="234" w:firstLine="640" w:firstLineChars="267"/>
        <w:rPr>
          <w:rFonts w:hint="eastAsia" w:hAnsi="宋体"/>
          <w:szCs w:val="24"/>
        </w:rPr>
      </w:pPr>
      <w:r>
        <w:rPr>
          <w:rFonts w:hint="eastAsia" w:hAnsi="宋体"/>
        </w:rPr>
        <w:object>
          <v:shape id="_x0000_i1025" o:spt="201" alt="" type="#_x0000_t201" style="height:9.75pt;width:10.5pt;" o:ole="t" filled="f" o:preferrelative="f" stroked="f" coordsize="21600,21600">
            <v:path/>
            <v:fill on="f" focussize="0,0"/>
            <v:stroke on="f"/>
            <v:imagedata r:id="rId7" o:title=""/>
            <o:lock v:ext="edit" aspectratio="t"/>
            <w10:wrap type="none"/>
            <w10:anchorlock/>
          </v:shape>
          <w:control r:id="rId6" w:name="CheckBox1264" w:shapeid="_x0000_i1025"/>
        </w:object>
      </w:r>
      <w:r>
        <w:rPr>
          <w:rFonts w:hAnsi="宋体"/>
          <w:szCs w:val="24"/>
        </w:rPr>
        <w:t xml:space="preserve"> </w:t>
      </w:r>
      <w:r>
        <w:rPr>
          <w:rFonts w:hint="eastAsia" w:hAnsi="宋体"/>
          <w:szCs w:val="24"/>
        </w:rPr>
        <w:t>无</w:t>
      </w:r>
    </w:p>
    <w:p w14:paraId="37D48AE6">
      <w:pPr>
        <w:pStyle w:val="5"/>
        <w:topLinePunct/>
        <w:spacing w:line="360" w:lineRule="auto"/>
        <w:ind w:left="491" w:leftChars="234" w:firstLine="640" w:firstLineChars="267"/>
        <w:rPr>
          <w:rFonts w:hint="eastAsia" w:hAnsi="宋体" w:cs="宋体"/>
          <w:szCs w:val="24"/>
        </w:rPr>
      </w:pPr>
      <w:r>
        <w:rPr>
          <w:rFonts w:hint="eastAsia" w:hAnsi="宋体"/>
        </w:rPr>
        <w:object>
          <v:shape id="_x0000_i1026" o:spt="201" alt="" type="#_x0000_t201" style="height:9.75pt;width:10.5pt;" o:ole="t" filled="f" o:preferrelative="f" stroked="f" coordsize="21600,21600">
            <v:path/>
            <v:fill on="f" focussize="0,0"/>
            <v:stroke on="f"/>
            <v:imagedata r:id="rId9" o:title=""/>
            <o:lock v:ext="edit" aspectratio="t"/>
            <w10:wrap type="none"/>
            <w10:anchorlock/>
          </v:shape>
          <w:control r:id="rId8" w:name="CheckBox12621" w:shapeid="_x0000_i1026"/>
        </w:object>
      </w:r>
      <w:r>
        <w:rPr>
          <w:rFonts w:hAnsi="宋体"/>
          <w:szCs w:val="24"/>
        </w:rPr>
        <w:t xml:space="preserve"> </w:t>
      </w:r>
      <w:r>
        <w:rPr>
          <w:rFonts w:hint="eastAsia" w:hAnsi="宋体" w:cs="宋体"/>
          <w:szCs w:val="24"/>
        </w:rPr>
        <w:t>有，最高限价为：人民币</w:t>
      </w:r>
      <w:r>
        <w:rPr>
          <w:rFonts w:hint="eastAsia" w:hAnsi="宋体" w:cs="宋体"/>
          <w:szCs w:val="24"/>
          <w:u w:val="single"/>
        </w:rPr>
        <w:t xml:space="preserve">   </w:t>
      </w:r>
      <w:r>
        <w:rPr>
          <w:rFonts w:hAnsi="宋体" w:cs="宋体"/>
          <w:szCs w:val="24"/>
          <w:u w:val="single"/>
        </w:rPr>
        <w:t xml:space="preserve">  </w:t>
      </w:r>
      <w:r>
        <w:rPr>
          <w:rFonts w:hint="eastAsia" w:hAnsi="宋体" w:cs="宋体"/>
          <w:szCs w:val="24"/>
        </w:rPr>
        <w:t>元。供应商报价不得超过最高限价。</w:t>
      </w:r>
    </w:p>
    <w:p w14:paraId="0C18D30B">
      <w:pPr>
        <w:pStyle w:val="37"/>
        <w:numPr>
          <w:ilvl w:val="0"/>
          <w:numId w:val="15"/>
        </w:numPr>
        <w:spacing w:line="360" w:lineRule="auto"/>
        <w:ind w:left="851" w:hanging="284" w:firstLineChars="0"/>
        <w:rPr>
          <w:rFonts w:hint="eastAsia" w:ascii="宋体" w:hAnsi="宋体" w:cs="宋体"/>
          <w:sz w:val="24"/>
        </w:rPr>
      </w:pPr>
      <w:r>
        <w:rPr>
          <w:rFonts w:hint="eastAsia" w:ascii="宋体" w:hAnsi="宋体" w:cs="宋体"/>
          <w:sz w:val="24"/>
        </w:rPr>
        <w:t>是否设置暂定预算总价：</w:t>
      </w:r>
    </w:p>
    <w:p w14:paraId="6AE78882">
      <w:pPr>
        <w:pStyle w:val="5"/>
        <w:topLinePunct/>
        <w:spacing w:line="360" w:lineRule="auto"/>
        <w:ind w:firstLine="1144" w:firstLineChars="477"/>
        <w:rPr>
          <w:rFonts w:hint="eastAsia" w:hAnsi="宋体" w:cs="宋体"/>
          <w:szCs w:val="24"/>
        </w:rPr>
      </w:pPr>
      <w:r>
        <w:rPr>
          <w:rFonts w:hint="eastAsia" w:hAnsi="宋体"/>
        </w:rPr>
        <w:object>
          <v:shape id="_x0000_i1027" o:spt="201" alt="" type="#_x0000_t201" style="height:9.75pt;width:10.5pt;" o:ole="t" filled="f" o:preferrelative="f" stroked="f" coordsize="21600,21600">
            <v:path/>
            <v:fill on="f" focussize="0,0"/>
            <v:stroke on="f"/>
            <v:imagedata r:id="rId7" o:title=""/>
            <o:lock v:ext="edit" aspectratio="t"/>
            <w10:wrap type="none"/>
            <w10:anchorlock/>
          </v:shape>
          <w:control r:id="rId10" w:name="CheckBox12611" w:shapeid="_x0000_i1027"/>
        </w:object>
      </w:r>
      <w:r>
        <w:rPr>
          <w:rFonts w:hAnsi="宋体"/>
          <w:szCs w:val="24"/>
        </w:rPr>
        <w:t xml:space="preserve"> </w:t>
      </w:r>
      <w:r>
        <w:rPr>
          <w:rFonts w:hint="eastAsia" w:hAnsi="宋体" w:cs="宋体"/>
          <w:szCs w:val="24"/>
        </w:rPr>
        <w:t>无</w:t>
      </w:r>
    </w:p>
    <w:p w14:paraId="53F386C9">
      <w:pPr>
        <w:pStyle w:val="5"/>
        <w:topLinePunct/>
        <w:spacing w:line="360" w:lineRule="auto"/>
        <w:ind w:firstLine="1144" w:firstLineChars="477"/>
        <w:rPr>
          <w:rFonts w:hint="eastAsia" w:hAnsi="宋体" w:cs="宋体"/>
          <w:szCs w:val="24"/>
        </w:rPr>
      </w:pPr>
      <w:r>
        <w:rPr>
          <w:rFonts w:hint="eastAsia" w:hAnsi="宋体"/>
        </w:rPr>
        <w:object>
          <v:shape id="_x0000_i1028" o:spt="201" alt="" type="#_x0000_t201" style="height:9.75pt;width:10.5pt;" o:ole="t" filled="f" o:preferrelative="f" stroked="f" coordsize="21600,21600">
            <v:path/>
            <v:fill on="f" focussize="0,0"/>
            <v:stroke on="f"/>
            <v:imagedata r:id="rId9" o:title=""/>
            <o:lock v:ext="edit" aspectratio="t"/>
            <w10:wrap type="none"/>
            <w10:anchorlock/>
          </v:shape>
          <w:control r:id="rId11" w:name="CheckBox12631" w:shapeid="_x0000_i1028"/>
        </w:object>
      </w:r>
      <w:r>
        <w:rPr>
          <w:rFonts w:hAnsi="宋体"/>
          <w:szCs w:val="24"/>
        </w:rPr>
        <w:t xml:space="preserve"> </w:t>
      </w:r>
      <w:r>
        <w:rPr>
          <w:rFonts w:hint="eastAsia" w:hAnsi="宋体" w:cs="宋体"/>
          <w:szCs w:val="24"/>
        </w:rPr>
        <w:t>有，暂定预算总价为：人民币</w:t>
      </w:r>
      <w:r>
        <w:rPr>
          <w:rFonts w:hint="eastAsia" w:hAnsi="宋体" w:cs="宋体"/>
          <w:szCs w:val="24"/>
          <w:u w:val="single"/>
        </w:rPr>
        <w:t xml:space="preserve">  </w:t>
      </w:r>
      <w:r>
        <w:rPr>
          <w:rFonts w:hAnsi="宋体" w:cs="宋体"/>
          <w:szCs w:val="24"/>
          <w:u w:val="single"/>
        </w:rPr>
        <w:t xml:space="preserve">  </w:t>
      </w:r>
      <w:r>
        <w:rPr>
          <w:rFonts w:hint="eastAsia" w:hAnsi="宋体" w:cs="宋体"/>
          <w:szCs w:val="24"/>
          <w:u w:val="single"/>
        </w:rPr>
        <w:t xml:space="preserve"> </w:t>
      </w:r>
      <w:r>
        <w:rPr>
          <w:rFonts w:hint="eastAsia" w:hAnsi="宋体" w:cs="宋体"/>
          <w:szCs w:val="24"/>
        </w:rPr>
        <w:t>元，报价上限系数为：</w:t>
      </w:r>
      <w:r>
        <w:rPr>
          <w:rFonts w:hint="eastAsia" w:hAnsi="宋体" w:cs="宋体"/>
          <w:szCs w:val="24"/>
          <w:u w:val="single"/>
        </w:rPr>
        <w:t xml:space="preserve">  </w:t>
      </w:r>
      <w:r>
        <w:rPr>
          <w:rFonts w:hAnsi="宋体" w:cs="宋体"/>
          <w:szCs w:val="24"/>
          <w:u w:val="single"/>
        </w:rPr>
        <w:t xml:space="preserve">  </w:t>
      </w:r>
      <w:r>
        <w:rPr>
          <w:rFonts w:hint="eastAsia" w:hAnsi="宋体" w:cs="宋体"/>
          <w:szCs w:val="24"/>
        </w:rPr>
        <w:t>。计算公式为：暂定预算价*报价上限系数（一般情况下供应商的报价系数不得超过1）。</w:t>
      </w:r>
    </w:p>
    <w:p w14:paraId="46FBF049">
      <w:pPr>
        <w:pStyle w:val="37"/>
        <w:numPr>
          <w:ilvl w:val="0"/>
          <w:numId w:val="14"/>
        </w:numPr>
        <w:spacing w:line="360" w:lineRule="auto"/>
        <w:ind w:hanging="616" w:firstLineChars="0"/>
        <w:rPr>
          <w:rFonts w:hint="eastAsia" w:ascii="宋体" w:hAnsi="宋体" w:cs="宋体"/>
          <w:sz w:val="24"/>
        </w:rPr>
      </w:pPr>
      <w:r>
        <w:rPr>
          <w:rFonts w:ascii="宋体" w:hAnsi="宋体" w:cs="宋体"/>
          <w:sz w:val="24"/>
        </w:rPr>
        <w:t>其他</w:t>
      </w:r>
      <w:r>
        <w:rPr>
          <w:rFonts w:hint="eastAsia" w:ascii="宋体" w:hAnsi="宋体" w:cs="宋体"/>
          <w:sz w:val="24"/>
        </w:rPr>
        <w:t>要求：</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无</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rPr>
        <w:t>。</w:t>
      </w:r>
    </w:p>
    <w:p w14:paraId="731D98FE">
      <w:pPr>
        <w:pStyle w:val="3"/>
        <w:numPr>
          <w:ilvl w:val="0"/>
          <w:numId w:val="12"/>
        </w:numPr>
        <w:spacing w:before="100" w:after="100" w:line="240" w:lineRule="auto"/>
        <w:ind w:left="567" w:hanging="567"/>
        <w:rPr>
          <w:rFonts w:hint="eastAsia" w:ascii="宋体" w:hAnsi="宋体"/>
          <w:sz w:val="24"/>
          <w:szCs w:val="24"/>
        </w:rPr>
      </w:pPr>
      <w:bookmarkStart w:id="13" w:name="_Toc2424"/>
      <w:r>
        <w:rPr>
          <w:rFonts w:hint="eastAsia" w:ascii="宋体" w:hAnsi="宋体"/>
          <w:sz w:val="24"/>
          <w:szCs w:val="24"/>
        </w:rPr>
        <w:t>投标保证金</w:t>
      </w:r>
      <w:bookmarkEnd w:id="13"/>
    </w:p>
    <w:p w14:paraId="1E04B892">
      <w:pPr>
        <w:pStyle w:val="5"/>
        <w:topLinePunct/>
        <w:spacing w:line="360" w:lineRule="auto"/>
        <w:ind w:firstLine="480" w:firstLineChars="200"/>
        <w:rPr>
          <w:rFonts w:hint="eastAsia" w:hAnsi="宋体" w:cs="宋体"/>
          <w:szCs w:val="24"/>
        </w:rPr>
      </w:pPr>
      <w:r>
        <w:rPr>
          <w:rFonts w:hint="eastAsia" w:hAnsi="宋体" w:cs="宋体"/>
          <w:szCs w:val="24"/>
        </w:rPr>
        <w:t>供应商缴纳保证金之前，</w:t>
      </w:r>
      <w:r>
        <w:rPr>
          <w:rFonts w:hAnsi="宋体" w:cs="宋体"/>
          <w:szCs w:val="24"/>
        </w:rPr>
        <w:t>请</w:t>
      </w:r>
      <w:r>
        <w:rPr>
          <w:rFonts w:hint="eastAsia" w:hAnsi="宋体" w:cs="宋体"/>
          <w:szCs w:val="24"/>
        </w:rPr>
        <w:t>务必在招采平台“</w:t>
      </w:r>
      <w:r>
        <w:rPr>
          <w:rFonts w:hAnsi="宋体" w:cs="宋体"/>
          <w:szCs w:val="24"/>
        </w:rPr>
        <w:t>采购项目</w:t>
      </w:r>
      <w:r>
        <w:rPr>
          <w:rFonts w:hint="eastAsia" w:hAnsi="宋体" w:cs="宋体"/>
          <w:szCs w:val="24"/>
        </w:rPr>
        <w:t>公告-确认邀请函”</w:t>
      </w:r>
      <w:r>
        <w:rPr>
          <w:rFonts w:hAnsi="宋体" w:cs="宋体"/>
          <w:szCs w:val="24"/>
        </w:rPr>
        <w:t>中</w:t>
      </w:r>
      <w:r>
        <w:rPr>
          <w:rFonts w:hint="eastAsia" w:hAnsi="宋体" w:cs="宋体"/>
          <w:szCs w:val="24"/>
        </w:rPr>
        <w:t>点击接受邀请。</w:t>
      </w:r>
    </w:p>
    <w:p w14:paraId="4FFB047B">
      <w:pPr>
        <w:pStyle w:val="5"/>
        <w:topLinePunct/>
        <w:spacing w:line="360" w:lineRule="auto"/>
        <w:ind w:firstLine="424" w:firstLineChars="177"/>
        <w:rPr>
          <w:rFonts w:hint="eastAsia" w:hAnsi="宋体" w:cs="宋体"/>
          <w:szCs w:val="24"/>
        </w:rPr>
      </w:pPr>
      <w:r>
        <w:rPr>
          <w:rFonts w:hint="eastAsia" w:hAnsi="宋体"/>
        </w:rPr>
        <w:object>
          <v:shape id="_x0000_i1029" o:spt="201" alt="" type="#_x0000_t201" style="height:9.75pt;width:10.5pt;" o:ole="t" filled="f" o:preferrelative="f" stroked="f" coordsize="21600,21600">
            <v:path/>
            <v:fill on="f" focussize="0,0"/>
            <v:stroke on="f"/>
            <v:imagedata r:id="rId7" o:title=""/>
            <o:lock v:ext="edit" aspectratio="t"/>
            <w10:wrap type="none"/>
            <w10:anchorlock/>
          </v:shape>
          <w:control r:id="rId12" w:name="CheckBox127" w:shapeid="_x0000_i1029"/>
        </w:object>
      </w:r>
      <w:r>
        <w:rPr>
          <w:rFonts w:hAnsi="宋体"/>
          <w:szCs w:val="24"/>
        </w:rPr>
        <w:t xml:space="preserve"> </w:t>
      </w:r>
      <w:r>
        <w:rPr>
          <w:rFonts w:hint="eastAsia" w:hAnsi="宋体" w:cs="宋体"/>
          <w:szCs w:val="24"/>
        </w:rPr>
        <w:t>不要求提供</w:t>
      </w:r>
    </w:p>
    <w:p w14:paraId="76D75E01">
      <w:pPr>
        <w:pStyle w:val="5"/>
        <w:topLinePunct/>
        <w:spacing w:line="360" w:lineRule="auto"/>
        <w:ind w:firstLine="424" w:firstLineChars="177"/>
        <w:rPr>
          <w:rFonts w:hint="eastAsia" w:hAnsi="宋体" w:cs="宋体"/>
          <w:szCs w:val="24"/>
        </w:rPr>
      </w:pPr>
      <w:r>
        <w:rPr>
          <w:rFonts w:hint="eastAsia" w:hAnsi="宋体"/>
        </w:rPr>
        <w:object>
          <v:shape id="_x0000_i1030" o:spt="201" alt="" type="#_x0000_t201" style="height:9.75pt;width:10.5pt;" o:ole="t" filled="f" o:preferrelative="f" stroked="f" coordsize="21600,21600">
            <v:path/>
            <v:fill on="f" focussize="0,0"/>
            <v:stroke on="f"/>
            <v:imagedata r:id="rId9" o:title=""/>
            <o:lock v:ext="edit" aspectratio="t"/>
            <w10:wrap type="none"/>
            <w10:anchorlock/>
          </v:shape>
          <w:control r:id="rId13" w:name="CheckBox1231" w:shapeid="_x0000_i1030"/>
        </w:object>
      </w:r>
      <w:r>
        <w:rPr>
          <w:rFonts w:hAnsi="宋体"/>
          <w:szCs w:val="24"/>
        </w:rPr>
        <w:t xml:space="preserve"> </w:t>
      </w:r>
      <w:r>
        <w:rPr>
          <w:rFonts w:hint="eastAsia" w:hAnsi="宋体" w:cs="宋体"/>
          <w:szCs w:val="24"/>
        </w:rPr>
        <w:t>要求提供</w:t>
      </w:r>
    </w:p>
    <w:p w14:paraId="1E996799">
      <w:pPr>
        <w:pStyle w:val="5"/>
        <w:numPr>
          <w:ilvl w:val="0"/>
          <w:numId w:val="16"/>
        </w:numPr>
        <w:topLinePunct/>
        <w:spacing w:line="360" w:lineRule="auto"/>
        <w:rPr>
          <w:rFonts w:hint="eastAsia" w:hAnsi="宋体" w:cs="宋体"/>
          <w:szCs w:val="24"/>
        </w:rPr>
      </w:pPr>
      <w:r>
        <w:rPr>
          <w:rFonts w:hint="eastAsia" w:hAnsi="宋体" w:cs="宋体"/>
          <w:szCs w:val="24"/>
        </w:rPr>
        <w:pict>
          <v:shape id="CheckBox1211" o:spid="_x0000_s1044" o:spt="201" alt="" type="#_x0000_t201" style="position:absolute;left:0pt;margin-left:166.95pt;margin-top:3.7pt;height:19.5pt;width:13.5pt;z-index:251659264;mso-width-relative:page;mso-height-relative:page;" o:ole="t" filled="f" o:preferrelative="t" stroked="f" coordsize="21600,21600">
            <v:path/>
            <v:fill on="f" focussize="0,0"/>
            <v:stroke on="f"/>
            <v:imagedata r:id="rId15" o:title=""/>
            <o:lock v:ext="edit" aspectratio="t"/>
          </v:shape>
          <w:control r:id="rId14" w:name="CheckBox1211" w:shapeid="CheckBox1211"/>
        </w:pict>
      </w:r>
      <w:r>
        <w:rPr>
          <w:rFonts w:hint="eastAsia" w:hAnsi="宋体" w:cs="宋体"/>
          <w:szCs w:val="24"/>
        </w:rPr>
        <w:pict>
          <v:shape id="CheckBox1241" o:spid="_x0000_s1045" o:spt="201" alt="" type="#_x0000_t201" style="position:absolute;left:0pt;margin-left:232.75pt;margin-top:3.7pt;height:19.5pt;width:13.5pt;z-index:251660288;mso-width-relative:page;mso-height-relative:page;" o:ole="t" filled="f" o:preferrelative="t" stroked="f" coordsize="21600,21600">
            <v:path/>
            <v:fill on="f" focussize="0,0"/>
            <v:stroke on="f"/>
            <v:imagedata r:id="rId15" o:title=""/>
            <o:lock v:ext="edit" aspectratio="t"/>
          </v:shape>
          <w:control r:id="rId16" w:name="CheckBox1241" w:shapeid="CheckBox1241"/>
        </w:pict>
      </w:r>
      <w:r>
        <w:rPr>
          <w:rFonts w:hint="eastAsia" w:hAnsi="宋体" w:cs="宋体"/>
          <w:szCs w:val="24"/>
        </w:rPr>
        <w:t xml:space="preserve">投标保证金的形式： </w:t>
      </w:r>
      <w:r>
        <w:rPr>
          <w:rFonts w:hAnsi="宋体" w:cs="宋体"/>
          <w:szCs w:val="24"/>
        </w:rPr>
        <w:t xml:space="preserve"> </w:t>
      </w:r>
      <w:r>
        <w:rPr>
          <w:rFonts w:hint="eastAsia" w:hAnsi="宋体" w:cs="宋体"/>
          <w:szCs w:val="24"/>
        </w:rPr>
        <w:t>银行转账   银行保函</w:t>
      </w:r>
    </w:p>
    <w:p w14:paraId="6B1758CE">
      <w:pPr>
        <w:pStyle w:val="5"/>
        <w:numPr>
          <w:ilvl w:val="0"/>
          <w:numId w:val="16"/>
        </w:numPr>
        <w:topLinePunct/>
        <w:spacing w:line="360" w:lineRule="auto"/>
        <w:rPr>
          <w:rFonts w:hint="eastAsia" w:hAnsi="宋体" w:cs="宋体"/>
          <w:szCs w:val="24"/>
        </w:rPr>
      </w:pPr>
      <w:r>
        <w:rPr>
          <w:rFonts w:hint="eastAsia" w:hAnsi="宋体" w:cs="宋体"/>
          <w:szCs w:val="24"/>
        </w:rPr>
        <w:t>投标保证金的金额：以系统显示为准。</w:t>
      </w:r>
    </w:p>
    <w:p w14:paraId="6A2B8A72">
      <w:pPr>
        <w:pStyle w:val="5"/>
        <w:numPr>
          <w:ilvl w:val="0"/>
          <w:numId w:val="16"/>
        </w:numPr>
        <w:topLinePunct/>
        <w:spacing w:line="360" w:lineRule="auto"/>
        <w:rPr>
          <w:rFonts w:hint="eastAsia" w:hAnsi="宋体" w:cs="宋体"/>
          <w:szCs w:val="24"/>
        </w:rPr>
      </w:pPr>
      <w:r>
        <w:rPr>
          <w:rFonts w:hint="eastAsia" w:hAnsi="宋体" w:cs="宋体"/>
          <w:szCs w:val="24"/>
        </w:rPr>
        <w:t>投标保证金递交时间及方式：</w:t>
      </w:r>
    </w:p>
    <w:p w14:paraId="27E76046">
      <w:pPr>
        <w:pStyle w:val="5"/>
        <w:numPr>
          <w:ilvl w:val="0"/>
          <w:numId w:val="17"/>
        </w:numPr>
        <w:topLinePunct/>
        <w:spacing w:line="360" w:lineRule="auto"/>
        <w:ind w:left="0" w:firstLine="851"/>
        <w:rPr>
          <w:rFonts w:hint="eastAsia" w:hAnsi="宋体" w:cs="宋体"/>
          <w:szCs w:val="24"/>
        </w:rPr>
      </w:pPr>
      <w:r>
        <w:rPr>
          <w:rFonts w:hint="eastAsia" w:hAnsi="宋体" w:cs="宋体"/>
          <w:szCs w:val="24"/>
        </w:rPr>
        <w:t>选择银行转账缴纳投标保证金时，供应商须于竞价开始时间前从其对公账户汇入投标保证金账户。</w:t>
      </w:r>
      <w:r>
        <w:rPr>
          <w:rFonts w:hAnsi="宋体" w:cs="宋体"/>
          <w:szCs w:val="24"/>
        </w:rPr>
        <w:t>投标保证金</w:t>
      </w:r>
      <w:r>
        <w:rPr>
          <w:rFonts w:hint="eastAsia" w:hAnsi="宋体" w:cs="宋体"/>
          <w:szCs w:val="24"/>
        </w:rPr>
        <w:t>账户信息如下：</w:t>
      </w:r>
    </w:p>
    <w:p w14:paraId="57A3FBAF">
      <w:pPr>
        <w:pStyle w:val="5"/>
        <w:topLinePunct/>
        <w:spacing w:line="360" w:lineRule="auto"/>
        <w:ind w:firstLine="480" w:firstLineChars="200"/>
        <w:rPr>
          <w:rFonts w:hint="eastAsia" w:hAnsi="宋体" w:cs="宋体"/>
          <w:szCs w:val="24"/>
        </w:rPr>
      </w:pPr>
      <w:r>
        <w:rPr>
          <w:rFonts w:hint="eastAsia" w:hAnsi="宋体" w:cs="宋体"/>
          <w:szCs w:val="24"/>
        </w:rPr>
        <w:t>开户银行：</w:t>
      </w:r>
      <w:r>
        <w:rPr>
          <w:rFonts w:hint="eastAsia" w:hAnsi="宋体" w:cs="宋体"/>
          <w:szCs w:val="24"/>
          <w:u w:val="single"/>
        </w:rPr>
        <w:t>中国工商银行深圳分行营业部</w:t>
      </w:r>
      <w:r>
        <w:rPr>
          <w:rFonts w:hint="eastAsia" w:hAnsi="宋体" w:cs="宋体"/>
          <w:szCs w:val="24"/>
        </w:rPr>
        <w:t>；</w:t>
      </w:r>
    </w:p>
    <w:p w14:paraId="0C70AFD7">
      <w:pPr>
        <w:pStyle w:val="5"/>
        <w:topLinePunct/>
        <w:spacing w:line="360" w:lineRule="auto"/>
        <w:ind w:firstLine="480" w:firstLineChars="200"/>
        <w:rPr>
          <w:rFonts w:hint="eastAsia" w:hAnsi="宋体" w:cs="宋体"/>
          <w:szCs w:val="24"/>
        </w:rPr>
      </w:pPr>
      <w:r>
        <w:rPr>
          <w:rFonts w:hint="eastAsia" w:hAnsi="宋体" w:cs="宋体"/>
          <w:szCs w:val="24"/>
        </w:rPr>
        <w:t>行    号：</w:t>
      </w:r>
      <w:r>
        <w:rPr>
          <w:rFonts w:hint="eastAsia" w:hAnsi="宋体" w:cs="宋体"/>
          <w:szCs w:val="24"/>
          <w:u w:val="single"/>
        </w:rPr>
        <w:t>102584</w:t>
      </w:r>
      <w:r>
        <w:rPr>
          <w:rFonts w:hAnsi="宋体" w:cs="宋体"/>
          <w:szCs w:val="24"/>
          <w:u w:val="single"/>
        </w:rPr>
        <w:t>000002</w:t>
      </w:r>
      <w:r>
        <w:rPr>
          <w:rFonts w:hint="eastAsia" w:hAnsi="宋体" w:cs="宋体"/>
          <w:szCs w:val="24"/>
        </w:rPr>
        <w:t>；</w:t>
      </w:r>
    </w:p>
    <w:p w14:paraId="48E57B3B">
      <w:pPr>
        <w:pStyle w:val="5"/>
        <w:topLinePunct/>
        <w:spacing w:line="360" w:lineRule="auto"/>
        <w:ind w:firstLine="480" w:firstLineChars="200"/>
        <w:rPr>
          <w:rFonts w:hint="eastAsia" w:hAnsi="宋体" w:cs="宋体"/>
          <w:szCs w:val="24"/>
        </w:rPr>
      </w:pPr>
      <w:r>
        <w:rPr>
          <w:rFonts w:hint="eastAsia" w:hAnsi="宋体" w:cs="宋体"/>
          <w:szCs w:val="24"/>
        </w:rPr>
        <w:t>账户账号：</w:t>
      </w:r>
      <w:r>
        <w:rPr>
          <w:rFonts w:hint="eastAsia" w:hAnsi="宋体" w:cs="宋体"/>
          <w:szCs w:val="24"/>
          <w:u w:val="single"/>
        </w:rPr>
        <w:t>40000</w:t>
      </w:r>
      <w:r>
        <w:rPr>
          <w:rFonts w:hAnsi="宋体" w:cs="宋体"/>
          <w:szCs w:val="24"/>
          <w:u w:val="single"/>
        </w:rPr>
        <w:t>23019201819191</w:t>
      </w:r>
      <w:r>
        <w:rPr>
          <w:rFonts w:hint="eastAsia" w:hAnsi="宋体" w:cs="宋体"/>
          <w:szCs w:val="24"/>
        </w:rPr>
        <w:t>；</w:t>
      </w:r>
    </w:p>
    <w:p w14:paraId="6E397BBA">
      <w:pPr>
        <w:pStyle w:val="5"/>
        <w:topLinePunct/>
        <w:spacing w:line="360" w:lineRule="auto"/>
        <w:ind w:firstLine="480" w:firstLineChars="200"/>
        <w:rPr>
          <w:rFonts w:hint="eastAsia" w:hAnsi="宋体" w:cs="宋体"/>
          <w:szCs w:val="24"/>
        </w:rPr>
      </w:pPr>
      <w:r>
        <w:rPr>
          <w:rFonts w:hint="eastAsia" w:hAnsi="宋体" w:cs="宋体"/>
          <w:szCs w:val="24"/>
        </w:rPr>
        <w:t>账户名：</w:t>
      </w:r>
      <w:r>
        <w:rPr>
          <w:rFonts w:hint="eastAsia" w:hAnsi="宋体" w:cs="宋体"/>
          <w:szCs w:val="24"/>
          <w:u w:val="single"/>
        </w:rPr>
        <w:t>宏信供应链服务（</w:t>
      </w:r>
      <w:r>
        <w:rPr>
          <w:rFonts w:hAnsi="宋体" w:cs="宋体"/>
          <w:szCs w:val="24"/>
          <w:u w:val="single"/>
        </w:rPr>
        <w:t>深圳</w:t>
      </w:r>
      <w:r>
        <w:rPr>
          <w:rFonts w:hint="eastAsia" w:hAnsi="宋体" w:cs="宋体"/>
          <w:szCs w:val="24"/>
          <w:u w:val="single"/>
        </w:rPr>
        <w:t>）有限公司</w:t>
      </w:r>
      <w:r>
        <w:rPr>
          <w:rFonts w:hint="eastAsia" w:hAnsi="宋体" w:cs="宋体"/>
          <w:szCs w:val="24"/>
        </w:rPr>
        <w:t>。</w:t>
      </w:r>
    </w:p>
    <w:p w14:paraId="5A7C38C7">
      <w:pPr>
        <w:pStyle w:val="5"/>
        <w:numPr>
          <w:ilvl w:val="0"/>
          <w:numId w:val="17"/>
        </w:numPr>
        <w:topLinePunct/>
        <w:spacing w:line="360" w:lineRule="auto"/>
        <w:ind w:left="0" w:firstLine="851"/>
        <w:rPr>
          <w:rFonts w:hint="eastAsia" w:hAnsi="宋体" w:cs="宋体"/>
          <w:szCs w:val="24"/>
        </w:rPr>
      </w:pPr>
      <w:r>
        <w:rPr>
          <w:rFonts w:hint="eastAsia" w:hAnsi="宋体" w:cs="宋体"/>
          <w:szCs w:val="24"/>
        </w:rPr>
        <w:t>选择银行保函缴纳投标保证金时，银行保函应在响应文件有效期截止时间</w:t>
      </w:r>
      <w:r>
        <w:rPr>
          <w:rFonts w:hint="eastAsia" w:hAnsi="宋体" w:cs="宋体"/>
          <w:szCs w:val="24"/>
          <w:u w:val="single"/>
        </w:rPr>
        <w:t xml:space="preserve">    </w:t>
      </w:r>
      <w:r>
        <w:rPr>
          <w:rFonts w:hint="eastAsia" w:hAnsi="宋体" w:cs="宋体"/>
          <w:szCs w:val="24"/>
        </w:rPr>
        <w:t>天内保持有效，</w:t>
      </w:r>
      <w:r>
        <w:rPr>
          <w:rFonts w:hAnsi="宋体" w:cs="宋体"/>
          <w:szCs w:val="24"/>
        </w:rPr>
        <w:t>并且供应商</w:t>
      </w:r>
      <w:r>
        <w:rPr>
          <w:rFonts w:hint="eastAsia" w:hAnsi="宋体" w:cs="宋体"/>
          <w:szCs w:val="24"/>
        </w:rPr>
        <w:t>须</w:t>
      </w:r>
      <w:r>
        <w:rPr>
          <w:rFonts w:hAnsi="宋体" w:cs="宋体"/>
          <w:szCs w:val="24"/>
        </w:rPr>
        <w:t>提供</w:t>
      </w:r>
      <w:r>
        <w:rPr>
          <w:rFonts w:hint="eastAsia" w:hAnsi="宋体" w:cs="宋体"/>
          <w:szCs w:val="24"/>
        </w:rPr>
        <w:t>保函开立</w:t>
      </w:r>
      <w:r>
        <w:rPr>
          <w:rFonts w:hAnsi="宋体" w:cs="宋体"/>
          <w:szCs w:val="24"/>
        </w:rPr>
        <w:t>银</w:t>
      </w:r>
      <w:r>
        <w:rPr>
          <w:rFonts w:hint="eastAsia" w:hAnsi="宋体" w:cs="宋体"/>
          <w:szCs w:val="24"/>
        </w:rPr>
        <w:t>行有效</w:t>
      </w:r>
      <w:r>
        <w:rPr>
          <w:rFonts w:hAnsi="宋体" w:cs="宋体"/>
          <w:szCs w:val="24"/>
        </w:rPr>
        <w:t>的查询方式</w:t>
      </w:r>
      <w:r>
        <w:rPr>
          <w:rFonts w:hint="eastAsia" w:hAnsi="宋体" w:cs="宋体"/>
          <w:szCs w:val="24"/>
        </w:rPr>
        <w:t>。</w:t>
      </w:r>
    </w:p>
    <w:p w14:paraId="1D6D3EB8">
      <w:pPr>
        <w:widowControl/>
        <w:numPr>
          <w:ilvl w:val="0"/>
          <w:numId w:val="16"/>
        </w:numPr>
        <w:tabs>
          <w:tab w:val="left" w:pos="0"/>
        </w:tabs>
        <w:spacing w:line="360" w:lineRule="auto"/>
        <w:ind w:left="0" w:firstLine="480" w:firstLineChars="200"/>
        <w:rPr>
          <w:rFonts w:hint="eastAsia" w:ascii="宋体" w:hAnsi="宋体" w:cs="宋体"/>
          <w:sz w:val="24"/>
        </w:rPr>
      </w:pPr>
      <w:r>
        <w:rPr>
          <w:rFonts w:ascii="宋体" w:hAnsi="宋体" w:cs="宋体"/>
          <w:sz w:val="24"/>
        </w:rPr>
        <w:t>响应文件</w:t>
      </w:r>
      <w:r>
        <w:rPr>
          <w:rFonts w:hint="eastAsia" w:ascii="宋体" w:hAnsi="宋体" w:cs="宋体"/>
          <w:sz w:val="24"/>
        </w:rPr>
        <w:t>有效期：</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 xml:space="preserve"> 天。（</w:t>
      </w:r>
      <w:r>
        <w:rPr>
          <w:rFonts w:hint="eastAsia" w:ascii="宋体" w:hAnsi="宋体" w:cs="宋体"/>
          <w:color w:val="FF0000"/>
          <w:sz w:val="24"/>
        </w:rPr>
        <w:t>一般为90天</w:t>
      </w:r>
      <w:r>
        <w:rPr>
          <w:rFonts w:hint="eastAsia" w:ascii="宋体" w:hAnsi="宋体" w:cs="宋体"/>
          <w:sz w:val="24"/>
        </w:rPr>
        <w:t>）</w:t>
      </w:r>
    </w:p>
    <w:p w14:paraId="4CD545EA">
      <w:pPr>
        <w:widowControl/>
        <w:numPr>
          <w:ilvl w:val="0"/>
          <w:numId w:val="16"/>
        </w:numPr>
        <w:tabs>
          <w:tab w:val="left" w:pos="0"/>
        </w:tabs>
        <w:spacing w:line="360" w:lineRule="auto"/>
        <w:ind w:left="0" w:firstLine="480" w:firstLineChars="200"/>
        <w:rPr>
          <w:rFonts w:hint="eastAsia" w:ascii="宋体" w:hAnsi="宋体" w:cs="宋体"/>
          <w:sz w:val="24"/>
        </w:rPr>
      </w:pPr>
      <w:r>
        <w:rPr>
          <w:rFonts w:hint="eastAsia" w:ascii="宋体" w:hAnsi="宋体" w:cs="宋体"/>
          <w:sz w:val="24"/>
        </w:rPr>
        <w:t>投标保证金为响应文件的组成部分，</w:t>
      </w:r>
      <w:r>
        <w:rPr>
          <w:rFonts w:ascii="宋体" w:hAnsi="宋体" w:cs="宋体"/>
          <w:sz w:val="24"/>
        </w:rPr>
        <w:t>未</w:t>
      </w:r>
      <w:r>
        <w:rPr>
          <w:rFonts w:hint="eastAsia" w:ascii="宋体" w:hAnsi="宋体" w:cs="宋体"/>
          <w:sz w:val="24"/>
        </w:rPr>
        <w:t>按规定提交保证金，</w:t>
      </w:r>
      <w:r>
        <w:rPr>
          <w:rFonts w:ascii="宋体" w:hAnsi="宋体" w:cs="宋体"/>
          <w:sz w:val="24"/>
        </w:rPr>
        <w:t>将</w:t>
      </w:r>
      <w:r>
        <w:rPr>
          <w:rFonts w:hint="eastAsia" w:ascii="宋体" w:hAnsi="宋体" w:cs="宋体"/>
          <w:sz w:val="24"/>
        </w:rPr>
        <w:t>被视为无效响应。</w:t>
      </w:r>
    </w:p>
    <w:p w14:paraId="10EC0931">
      <w:pPr>
        <w:widowControl/>
        <w:numPr>
          <w:ilvl w:val="0"/>
          <w:numId w:val="16"/>
        </w:numPr>
        <w:tabs>
          <w:tab w:val="left" w:pos="0"/>
        </w:tabs>
        <w:spacing w:line="360" w:lineRule="auto"/>
        <w:ind w:left="0" w:firstLine="480" w:firstLineChars="200"/>
        <w:rPr>
          <w:rFonts w:hint="eastAsia" w:ascii="宋体" w:hAnsi="宋体"/>
          <w:sz w:val="24"/>
        </w:rPr>
      </w:pPr>
      <w:r>
        <w:rPr>
          <w:rFonts w:hint="eastAsia" w:ascii="宋体" w:hAnsi="宋体" w:cs="宋体"/>
          <w:sz w:val="24"/>
        </w:rPr>
        <w:t>采购人将</w:t>
      </w:r>
      <w:r>
        <w:rPr>
          <w:rFonts w:ascii="宋体" w:hAnsi="宋体" w:cs="宋体"/>
          <w:sz w:val="24"/>
        </w:rPr>
        <w:t>在中标结果公示结束后</w:t>
      </w:r>
      <w:r>
        <w:rPr>
          <w:rFonts w:hint="eastAsia" w:ascii="宋体" w:hAnsi="宋体" w:cs="宋体"/>
          <w:sz w:val="24"/>
        </w:rPr>
        <w:t>5个</w:t>
      </w:r>
      <w:r>
        <w:rPr>
          <w:rFonts w:ascii="宋体" w:hAnsi="宋体" w:cs="宋体"/>
          <w:sz w:val="24"/>
        </w:rPr>
        <w:t>工作日内</w:t>
      </w:r>
      <w:r>
        <w:rPr>
          <w:rFonts w:hint="eastAsia" w:ascii="宋体" w:hAnsi="宋体" w:cs="宋体"/>
          <w:sz w:val="24"/>
        </w:rPr>
        <w:t>向</w:t>
      </w:r>
      <w:r>
        <w:rPr>
          <w:rFonts w:ascii="宋体" w:hAnsi="宋体" w:cs="宋体"/>
          <w:sz w:val="24"/>
        </w:rPr>
        <w:t>未</w:t>
      </w:r>
      <w:r>
        <w:rPr>
          <w:rFonts w:hint="eastAsia" w:ascii="宋体" w:hAnsi="宋体" w:cs="宋体"/>
          <w:sz w:val="24"/>
        </w:rPr>
        <w:t>中选的供应商无息退还响应保证金，</w:t>
      </w:r>
      <w:r>
        <w:rPr>
          <w:rFonts w:ascii="宋体" w:hAnsi="宋体" w:cs="宋体"/>
          <w:sz w:val="24"/>
        </w:rPr>
        <w:t>在</w:t>
      </w:r>
      <w:r>
        <w:rPr>
          <w:rFonts w:hint="eastAsia" w:ascii="宋体" w:hAnsi="宋体" w:cs="宋体"/>
          <w:sz w:val="24"/>
        </w:rPr>
        <w:t>合同签订后</w:t>
      </w:r>
      <w:r>
        <w:rPr>
          <w:rFonts w:ascii="宋体" w:hAnsi="宋体" w:cs="宋体"/>
          <w:sz w:val="24"/>
        </w:rPr>
        <w:t>10</w:t>
      </w:r>
      <w:r>
        <w:rPr>
          <w:rFonts w:hint="eastAsia" w:ascii="宋体" w:hAnsi="宋体" w:cs="宋体"/>
          <w:sz w:val="24"/>
        </w:rPr>
        <w:t>个工作日内向中选供应商无息退还投标保证金。</w:t>
      </w:r>
    </w:p>
    <w:p w14:paraId="57585393">
      <w:pPr>
        <w:pStyle w:val="3"/>
        <w:numPr>
          <w:ilvl w:val="0"/>
          <w:numId w:val="12"/>
        </w:numPr>
        <w:spacing w:before="100" w:after="100" w:line="240" w:lineRule="auto"/>
        <w:ind w:left="567" w:hanging="567"/>
        <w:rPr>
          <w:rFonts w:hint="eastAsia" w:ascii="宋体" w:hAnsi="宋体"/>
          <w:sz w:val="24"/>
          <w:szCs w:val="24"/>
        </w:rPr>
      </w:pPr>
      <w:bookmarkStart w:id="14" w:name="_Toc31302"/>
      <w:r>
        <w:rPr>
          <w:rFonts w:hint="eastAsia" w:ascii="宋体" w:hAnsi="宋体"/>
          <w:sz w:val="24"/>
          <w:szCs w:val="24"/>
        </w:rPr>
        <w:t>履约</w:t>
      </w:r>
      <w:r>
        <w:rPr>
          <w:rFonts w:ascii="宋体" w:hAnsi="宋体"/>
          <w:sz w:val="24"/>
          <w:szCs w:val="24"/>
        </w:rPr>
        <w:t>保证金</w:t>
      </w:r>
      <w:bookmarkEnd w:id="14"/>
    </w:p>
    <w:p w14:paraId="1B0FCEC7">
      <w:pPr>
        <w:pStyle w:val="5"/>
        <w:numPr>
          <w:ilvl w:val="0"/>
          <w:numId w:val="18"/>
        </w:numPr>
        <w:topLinePunct/>
        <w:spacing w:line="360" w:lineRule="auto"/>
        <w:ind w:hanging="616"/>
        <w:rPr>
          <w:rFonts w:hint="eastAsia" w:hAnsi="宋体"/>
          <w:szCs w:val="24"/>
        </w:rPr>
      </w:pPr>
      <w:r>
        <w:rPr>
          <w:rFonts w:hint="eastAsia" w:hAnsi="宋体"/>
          <w:szCs w:val="24"/>
        </w:rPr>
        <w:t>是否要求成交供应商提交履约保证金：</w:t>
      </w:r>
    </w:p>
    <w:p w14:paraId="1983D62F">
      <w:pPr>
        <w:pStyle w:val="5"/>
        <w:topLinePunct/>
        <w:spacing w:line="360" w:lineRule="auto"/>
        <w:ind w:firstLine="480" w:firstLineChars="200"/>
        <w:rPr>
          <w:rFonts w:hint="eastAsia" w:hAnsi="宋体"/>
          <w:szCs w:val="24"/>
        </w:rPr>
      </w:pPr>
      <w:r>
        <w:rPr>
          <w:rFonts w:hint="eastAsia" w:hAnsi="宋体"/>
        </w:rPr>
        <w:object>
          <v:shape id="_x0000_i1031" o:spt="201" alt="" type="#_x0000_t201" style="height:9.75pt;width:10.5pt;" o:ole="t" filled="f" o:preferrelative="f" stroked="f" coordsize="21600,21600">
            <v:path/>
            <v:fill on="f" focussize="0,0"/>
            <v:stroke on="f"/>
            <v:imagedata r:id="rId9" o:title=""/>
            <o:lock v:ext="edit" aspectratio="t"/>
            <w10:wrap type="none"/>
            <w10:anchorlock/>
          </v:shape>
          <w:control r:id="rId17" w:name="CheckBox1251" w:shapeid="_x0000_i1031"/>
        </w:object>
      </w:r>
      <w:r>
        <w:rPr>
          <w:rFonts w:hAnsi="宋体"/>
          <w:szCs w:val="24"/>
        </w:rPr>
        <w:t xml:space="preserve"> </w:t>
      </w:r>
      <w:r>
        <w:rPr>
          <w:rFonts w:hint="eastAsia" w:hAnsi="宋体"/>
          <w:szCs w:val="24"/>
        </w:rPr>
        <w:t>要求，履约保证金的形式：</w:t>
      </w:r>
      <w:r>
        <w:rPr>
          <w:rFonts w:hint="eastAsia" w:hAnsi="宋体"/>
          <w:szCs w:val="24"/>
          <w:u w:val="single"/>
        </w:rPr>
        <w:t xml:space="preserve">      </w:t>
      </w:r>
      <w:r>
        <w:rPr>
          <w:rFonts w:hAnsi="宋体"/>
          <w:szCs w:val="24"/>
          <w:u w:val="single"/>
        </w:rPr>
        <w:t xml:space="preserve">                       </w:t>
      </w:r>
      <w:r>
        <w:rPr>
          <w:rFonts w:hint="eastAsia" w:hAnsi="宋体"/>
          <w:szCs w:val="24"/>
          <w:u w:val="single"/>
        </w:rPr>
        <w:t xml:space="preserve"> </w:t>
      </w:r>
    </w:p>
    <w:p w14:paraId="5F6EA7CA">
      <w:pPr>
        <w:spacing w:line="360" w:lineRule="auto"/>
        <w:ind w:firstLine="480" w:firstLineChars="200"/>
        <w:rPr>
          <w:rFonts w:hint="eastAsia" w:ascii="宋体" w:hAnsi="宋体"/>
          <w:sz w:val="24"/>
        </w:rPr>
      </w:pPr>
      <w:r>
        <w:rPr>
          <w:rFonts w:hint="eastAsia" w:ascii="宋体" w:hAnsi="宋体"/>
          <w:sz w:val="24"/>
        </w:rPr>
        <w:t xml:space="preserve">履约保证金的金额：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50BFB02A">
      <w:pPr>
        <w:pStyle w:val="5"/>
        <w:topLinePunct/>
        <w:spacing w:line="360" w:lineRule="auto"/>
        <w:ind w:firstLine="480" w:firstLineChars="200"/>
        <w:rPr>
          <w:rFonts w:hint="eastAsia" w:hAnsi="宋体"/>
          <w:szCs w:val="24"/>
        </w:rPr>
      </w:pPr>
      <w:r>
        <w:rPr>
          <w:rFonts w:hint="eastAsia" w:hAnsi="宋体"/>
        </w:rPr>
        <w:object>
          <v:shape id="_x0000_i1032" o:spt="201" alt="" type="#_x0000_t201" style="height:9.75pt;width:10.5pt;" o:ole="t" filled="f" o:preferrelative="f" stroked="f" coordsize="21600,21600">
            <v:path/>
            <v:fill on="f" focussize="0,0"/>
            <v:stroke on="f"/>
            <v:imagedata r:id="rId7" o:title=""/>
            <o:lock v:ext="edit" aspectratio="t"/>
            <w10:wrap type="none"/>
            <w10:anchorlock/>
          </v:shape>
          <w:control r:id="rId18" w:name="CheckBox1221" w:shapeid="_x0000_i1032"/>
        </w:object>
      </w:r>
      <w:r>
        <w:rPr>
          <w:rFonts w:hAnsi="宋体"/>
          <w:szCs w:val="24"/>
        </w:rPr>
        <w:t xml:space="preserve"> </w:t>
      </w:r>
      <w:r>
        <w:rPr>
          <w:rFonts w:hint="eastAsia" w:hAnsi="宋体"/>
          <w:szCs w:val="24"/>
        </w:rPr>
        <w:t>不要求</w:t>
      </w:r>
    </w:p>
    <w:p w14:paraId="1C8541FD">
      <w:pPr>
        <w:pStyle w:val="5"/>
        <w:numPr>
          <w:ilvl w:val="0"/>
          <w:numId w:val="18"/>
        </w:numPr>
        <w:topLinePunct/>
        <w:spacing w:line="360" w:lineRule="auto"/>
        <w:ind w:hanging="616"/>
        <w:rPr>
          <w:rFonts w:hint="eastAsia" w:hAnsi="宋体"/>
          <w:sz w:val="28"/>
          <w:szCs w:val="28"/>
        </w:rPr>
      </w:pPr>
      <w:r>
        <w:rPr>
          <w:rFonts w:hAnsi="宋体"/>
          <w:szCs w:val="24"/>
        </w:rPr>
        <w:t>其他</w:t>
      </w:r>
      <w:r>
        <w:rPr>
          <w:rFonts w:hint="eastAsia" w:hAnsi="宋体"/>
          <w:szCs w:val="24"/>
        </w:rPr>
        <w:t>要求：</w:t>
      </w:r>
      <w:r>
        <w:rPr>
          <w:rFonts w:hAnsi="宋体"/>
          <w:sz w:val="28"/>
          <w:szCs w:val="28"/>
          <w:u w:val="single"/>
        </w:rPr>
        <w:t xml:space="preserve">  </w:t>
      </w:r>
      <w:r>
        <w:rPr>
          <w:rFonts w:hint="eastAsia" w:hAnsi="宋体"/>
          <w:sz w:val="28"/>
          <w:szCs w:val="28"/>
          <w:u w:val="single"/>
        </w:rPr>
        <w:t>无</w:t>
      </w:r>
      <w:r>
        <w:rPr>
          <w:rFonts w:hAnsi="宋体"/>
          <w:sz w:val="28"/>
          <w:szCs w:val="28"/>
          <w:u w:val="single"/>
        </w:rPr>
        <w:t xml:space="preserve">                                   </w:t>
      </w:r>
      <w:r>
        <w:rPr>
          <w:rFonts w:hint="eastAsia" w:hAnsi="宋体"/>
          <w:sz w:val="28"/>
          <w:szCs w:val="28"/>
        </w:rPr>
        <w:t>。</w:t>
      </w:r>
    </w:p>
    <w:p w14:paraId="4A0898D6">
      <w:pPr>
        <w:pStyle w:val="3"/>
        <w:numPr>
          <w:ilvl w:val="0"/>
          <w:numId w:val="12"/>
        </w:numPr>
        <w:spacing w:before="100" w:after="100" w:line="240" w:lineRule="auto"/>
        <w:ind w:left="567" w:hanging="567"/>
        <w:rPr>
          <w:rFonts w:hint="eastAsia" w:ascii="宋体" w:hAnsi="宋体"/>
          <w:sz w:val="24"/>
          <w:szCs w:val="24"/>
        </w:rPr>
      </w:pPr>
      <w:bookmarkStart w:id="15" w:name="_Toc21852"/>
      <w:r>
        <w:rPr>
          <w:rFonts w:hint="eastAsia" w:ascii="宋体" w:hAnsi="宋体"/>
          <w:sz w:val="24"/>
          <w:szCs w:val="24"/>
        </w:rPr>
        <w:t>异议</w:t>
      </w:r>
      <w:r>
        <w:rPr>
          <w:rFonts w:ascii="宋体" w:hAnsi="宋体"/>
          <w:sz w:val="24"/>
          <w:szCs w:val="24"/>
        </w:rPr>
        <w:t>提出</w:t>
      </w:r>
      <w:bookmarkEnd w:id="15"/>
    </w:p>
    <w:p w14:paraId="6275A7CF">
      <w:pPr>
        <w:numPr>
          <w:ilvl w:val="0"/>
          <w:numId w:val="19"/>
        </w:numPr>
        <w:spacing w:line="360" w:lineRule="auto"/>
        <w:ind w:left="0" w:firstLine="283" w:firstLineChars="118"/>
        <w:rPr>
          <w:rFonts w:hint="eastAsia" w:ascii="宋体" w:hAnsi="宋体"/>
          <w:sz w:val="24"/>
        </w:rPr>
      </w:pPr>
      <w:r>
        <w:rPr>
          <w:rFonts w:hint="eastAsia" w:ascii="宋体" w:hAnsi="宋体"/>
          <w:sz w:val="24"/>
        </w:rPr>
        <w:t>提出异议截止时间：以招采平台显示的时间为准。</w:t>
      </w:r>
    </w:p>
    <w:p w14:paraId="61F381B1">
      <w:pPr>
        <w:numPr>
          <w:ilvl w:val="0"/>
          <w:numId w:val="19"/>
        </w:numPr>
        <w:spacing w:line="360" w:lineRule="auto"/>
        <w:ind w:left="0" w:firstLine="283" w:firstLineChars="118"/>
        <w:rPr>
          <w:rFonts w:hint="eastAsia" w:ascii="宋体" w:hAnsi="宋体"/>
          <w:sz w:val="24"/>
        </w:rPr>
      </w:pPr>
      <w:r>
        <w:rPr>
          <w:rFonts w:hint="eastAsia" w:ascii="宋体" w:hAnsi="宋体"/>
          <w:sz w:val="24"/>
        </w:rPr>
        <w:t>供应商如对采购项目有疑问，</w:t>
      </w:r>
      <w:r>
        <w:rPr>
          <w:rFonts w:ascii="宋体" w:hAnsi="宋体"/>
          <w:sz w:val="24"/>
        </w:rPr>
        <w:t>可</w:t>
      </w:r>
      <w:r>
        <w:rPr>
          <w:rFonts w:hint="eastAsia" w:ascii="宋体" w:hAnsi="宋体"/>
          <w:sz w:val="24"/>
        </w:rPr>
        <w:t>点击【采购项目异议】进入“采购项目异议”列表页，选择要提出异议的采购项目，点击【异议】，填写异议内容后提交；供应商应在提交异议后随时关注招采平台澄清回复情况。</w:t>
      </w:r>
    </w:p>
    <w:p w14:paraId="388C8D72">
      <w:pPr>
        <w:numPr>
          <w:ilvl w:val="0"/>
          <w:numId w:val="19"/>
        </w:numPr>
        <w:spacing w:line="360" w:lineRule="auto"/>
        <w:ind w:left="0" w:firstLine="283" w:firstLineChars="118"/>
        <w:rPr>
          <w:rFonts w:hint="eastAsia" w:ascii="宋体" w:hAnsi="宋体"/>
          <w:sz w:val="24"/>
        </w:rPr>
      </w:pPr>
      <w:r>
        <w:rPr>
          <w:rFonts w:hint="eastAsia" w:ascii="宋体" w:hAnsi="宋体"/>
          <w:sz w:val="24"/>
        </w:rPr>
        <w:t>除非采购人认为确有必要答复，否则，采购人有权拒绝回复供应商在本条第1点规定时间后的任何澄清要求。</w:t>
      </w:r>
    </w:p>
    <w:p w14:paraId="3D59E65B">
      <w:pPr>
        <w:pStyle w:val="3"/>
        <w:numPr>
          <w:ilvl w:val="0"/>
          <w:numId w:val="12"/>
        </w:numPr>
        <w:spacing w:before="100" w:after="100" w:line="240" w:lineRule="auto"/>
        <w:ind w:left="567" w:hanging="567"/>
        <w:rPr>
          <w:rFonts w:hint="eastAsia" w:ascii="宋体" w:hAnsi="宋体"/>
          <w:sz w:val="24"/>
          <w:szCs w:val="24"/>
        </w:rPr>
      </w:pPr>
      <w:bookmarkStart w:id="16" w:name="_Toc16643"/>
      <w:r>
        <w:rPr>
          <w:rFonts w:hint="eastAsia" w:ascii="宋体" w:hAnsi="宋体"/>
          <w:sz w:val="24"/>
          <w:szCs w:val="24"/>
        </w:rPr>
        <w:t>补遗</w:t>
      </w:r>
      <w:r>
        <w:rPr>
          <w:rFonts w:ascii="宋体" w:hAnsi="宋体"/>
          <w:sz w:val="24"/>
          <w:szCs w:val="24"/>
        </w:rPr>
        <w:t>文件</w:t>
      </w:r>
      <w:bookmarkEnd w:id="16"/>
    </w:p>
    <w:p w14:paraId="235A89BD">
      <w:pPr>
        <w:widowControl/>
        <w:tabs>
          <w:tab w:val="left" w:pos="0"/>
        </w:tabs>
        <w:spacing w:line="360" w:lineRule="auto"/>
        <w:ind w:firstLine="360" w:firstLineChars="150"/>
        <w:rPr>
          <w:rFonts w:hint="eastAsia" w:ascii="宋体" w:hAnsi="宋体" w:cs="宋体"/>
          <w:kern w:val="0"/>
          <w:sz w:val="24"/>
        </w:rPr>
      </w:pPr>
      <w:r>
        <w:rPr>
          <w:rFonts w:hint="eastAsia" w:ascii="宋体" w:hAnsi="宋体" w:cs="宋体"/>
          <w:kern w:val="0"/>
          <w:sz w:val="24"/>
        </w:rPr>
        <w:t>供应商应在</w:t>
      </w:r>
      <w:r>
        <w:rPr>
          <w:rFonts w:hint="eastAsia" w:ascii="宋体" w:hAnsi="宋体" w:cs="宋体"/>
          <w:b/>
          <w:bCs/>
          <w:kern w:val="0"/>
          <w:sz w:val="24"/>
        </w:rPr>
        <w:t>竞价开始时间前</w:t>
      </w:r>
      <w:r>
        <w:rPr>
          <w:rFonts w:hint="eastAsia" w:ascii="宋体" w:hAnsi="宋体" w:cs="宋体"/>
          <w:kern w:val="0"/>
          <w:sz w:val="24"/>
        </w:rPr>
        <w:t>随时关注招采平台，</w:t>
      </w:r>
      <w:r>
        <w:rPr>
          <w:rFonts w:ascii="宋体" w:hAnsi="宋体" w:cs="宋体"/>
          <w:kern w:val="0"/>
          <w:sz w:val="24"/>
        </w:rPr>
        <w:t>查看</w:t>
      </w:r>
      <w:r>
        <w:rPr>
          <w:rFonts w:hint="eastAsia" w:ascii="宋体" w:hAnsi="宋体" w:cs="宋体"/>
          <w:kern w:val="0"/>
          <w:sz w:val="24"/>
        </w:rPr>
        <w:t>采购人发布的补遗文件。</w:t>
      </w:r>
    </w:p>
    <w:p w14:paraId="1BA85304">
      <w:pPr>
        <w:widowControl/>
        <w:tabs>
          <w:tab w:val="left" w:pos="0"/>
        </w:tabs>
        <w:spacing w:line="360" w:lineRule="auto"/>
        <w:ind w:firstLine="360" w:firstLineChars="150"/>
        <w:rPr>
          <w:rFonts w:hint="eastAsia" w:ascii="宋体" w:hAnsi="宋体" w:cs="宋体"/>
          <w:kern w:val="0"/>
          <w:sz w:val="24"/>
        </w:rPr>
      </w:pPr>
      <w:r>
        <w:rPr>
          <w:rFonts w:hint="eastAsia" w:ascii="宋体" w:hAnsi="宋体" w:cs="宋体"/>
          <w:kern w:val="0"/>
          <w:sz w:val="24"/>
        </w:rPr>
        <w:t>补遗文件是采购文件的组成部分，如出现不一致，</w:t>
      </w:r>
      <w:r>
        <w:rPr>
          <w:rFonts w:ascii="宋体" w:hAnsi="宋体" w:cs="宋体"/>
          <w:kern w:val="0"/>
          <w:sz w:val="24"/>
        </w:rPr>
        <w:t>以</w:t>
      </w:r>
      <w:r>
        <w:rPr>
          <w:rFonts w:hint="eastAsia" w:ascii="宋体" w:hAnsi="宋体" w:cs="宋体"/>
          <w:kern w:val="0"/>
          <w:sz w:val="24"/>
        </w:rPr>
        <w:t>补遗文件为准。</w:t>
      </w:r>
      <w:r>
        <w:rPr>
          <w:rFonts w:hint="eastAsia" w:ascii="宋体" w:hAnsi="宋体" w:cs="宋体"/>
          <w:sz w:val="24"/>
        </w:rPr>
        <w:t>如因使用旧版采购文件制作响应文件而造成不利于供应商后果的，后果由供应商自行承担。</w:t>
      </w:r>
    </w:p>
    <w:p w14:paraId="127D6117">
      <w:pPr>
        <w:pStyle w:val="3"/>
        <w:numPr>
          <w:ilvl w:val="0"/>
          <w:numId w:val="12"/>
        </w:numPr>
        <w:spacing w:before="100" w:after="100" w:line="240" w:lineRule="auto"/>
        <w:ind w:left="567" w:hanging="567"/>
        <w:rPr>
          <w:rFonts w:hint="eastAsia" w:ascii="宋体" w:hAnsi="宋体"/>
          <w:sz w:val="24"/>
          <w:szCs w:val="24"/>
        </w:rPr>
      </w:pPr>
      <w:bookmarkStart w:id="17" w:name="_Toc14087"/>
      <w:bookmarkStart w:id="18" w:name="_Toc93495173"/>
      <w:r>
        <w:rPr>
          <w:rFonts w:hint="eastAsia" w:ascii="宋体" w:hAnsi="宋体"/>
          <w:sz w:val="24"/>
          <w:szCs w:val="24"/>
        </w:rPr>
        <w:t>竞价</w:t>
      </w:r>
      <w:r>
        <w:rPr>
          <w:rFonts w:ascii="宋体" w:hAnsi="宋体"/>
          <w:sz w:val="24"/>
          <w:szCs w:val="24"/>
        </w:rPr>
        <w:t>安排</w:t>
      </w:r>
      <w:bookmarkEnd w:id="17"/>
      <w:bookmarkEnd w:id="18"/>
    </w:p>
    <w:p w14:paraId="0DF1BBA9">
      <w:pPr>
        <w:numPr>
          <w:ilvl w:val="0"/>
          <w:numId w:val="20"/>
        </w:numPr>
        <w:spacing w:line="360" w:lineRule="auto"/>
        <w:ind w:left="0" w:firstLine="480" w:firstLineChars="200"/>
        <w:rPr>
          <w:rFonts w:hint="eastAsia" w:ascii="宋体" w:hAnsi="宋体"/>
          <w:sz w:val="24"/>
        </w:rPr>
      </w:pPr>
      <w:r>
        <w:rPr>
          <w:rFonts w:ascii="宋体" w:hAnsi="宋体"/>
          <w:sz w:val="24"/>
        </w:rPr>
        <w:t>竞价</w:t>
      </w:r>
      <w:r>
        <w:rPr>
          <w:rFonts w:hint="eastAsia" w:ascii="宋体" w:hAnsi="宋体"/>
          <w:sz w:val="24"/>
        </w:rPr>
        <w:t>方式：自由竞价。供应商在竞价开始时间之后可进行报价操作；供应商可多次报价，招采平台以供应商最后一次成功确认的报价作为最终报价。</w:t>
      </w:r>
    </w:p>
    <w:p w14:paraId="0BCCB234">
      <w:pPr>
        <w:numPr>
          <w:ilvl w:val="0"/>
          <w:numId w:val="20"/>
        </w:numPr>
        <w:spacing w:line="360" w:lineRule="auto"/>
        <w:ind w:left="0" w:firstLine="480" w:firstLineChars="200"/>
        <w:rPr>
          <w:rFonts w:hint="eastAsia" w:ascii="宋体" w:hAnsi="宋体"/>
          <w:sz w:val="24"/>
        </w:rPr>
      </w:pPr>
      <w:r>
        <w:rPr>
          <w:rFonts w:ascii="宋体" w:hAnsi="宋体"/>
          <w:sz w:val="24"/>
        </w:rPr>
        <w:t>竞价</w:t>
      </w:r>
      <w:r>
        <w:rPr>
          <w:rFonts w:hint="eastAsia" w:ascii="宋体" w:hAnsi="宋体"/>
          <w:sz w:val="24"/>
        </w:rPr>
        <w:t>开始时间：以招采平台显示的时间为准。</w:t>
      </w:r>
    </w:p>
    <w:p w14:paraId="0F9C803D">
      <w:pPr>
        <w:numPr>
          <w:ilvl w:val="0"/>
          <w:numId w:val="20"/>
        </w:numPr>
        <w:spacing w:line="360" w:lineRule="auto"/>
        <w:ind w:left="0" w:firstLine="480" w:firstLineChars="200"/>
        <w:rPr>
          <w:rFonts w:hint="eastAsia" w:ascii="宋体" w:hAnsi="宋体"/>
          <w:sz w:val="24"/>
        </w:rPr>
      </w:pPr>
      <w:r>
        <w:rPr>
          <w:rFonts w:ascii="宋体" w:hAnsi="宋体"/>
          <w:sz w:val="24"/>
        </w:rPr>
        <w:t>竞价</w:t>
      </w:r>
      <w:r>
        <w:rPr>
          <w:rFonts w:hint="eastAsia" w:ascii="宋体" w:hAnsi="宋体"/>
          <w:sz w:val="24"/>
        </w:rPr>
        <w:t>时长：以招采平台显示的时间为准。</w:t>
      </w:r>
    </w:p>
    <w:p w14:paraId="6C41C8E4">
      <w:pPr>
        <w:numPr>
          <w:ilvl w:val="0"/>
          <w:numId w:val="20"/>
        </w:numPr>
        <w:spacing w:line="360" w:lineRule="auto"/>
        <w:ind w:left="0" w:firstLine="480" w:firstLineChars="200"/>
        <w:rPr>
          <w:rFonts w:hint="eastAsia" w:ascii="宋体" w:hAnsi="宋体"/>
          <w:sz w:val="24"/>
        </w:rPr>
      </w:pPr>
      <w:r>
        <w:rPr>
          <w:rFonts w:ascii="宋体" w:hAnsi="宋体"/>
          <w:sz w:val="24"/>
        </w:rPr>
        <w:t>限时</w:t>
      </w:r>
      <w:r>
        <w:rPr>
          <w:rFonts w:hint="eastAsia" w:ascii="宋体" w:hAnsi="宋体"/>
          <w:sz w:val="24"/>
        </w:rPr>
        <w:t>：以招采平台显示的时间为准。当竞价时长截止将进入竞价限时倒计时，供应商在此时间内可无限次报价，如有供应商报价，时间自动重置；若限时内无供应商再次竞价，则限时倒计时截止即确定竞价结果。</w:t>
      </w:r>
    </w:p>
    <w:p w14:paraId="660E0E86">
      <w:pPr>
        <w:numPr>
          <w:ilvl w:val="0"/>
          <w:numId w:val="20"/>
        </w:numPr>
        <w:spacing w:line="360" w:lineRule="auto"/>
        <w:ind w:left="0" w:firstLine="480" w:firstLineChars="200"/>
        <w:rPr>
          <w:rFonts w:hint="eastAsia" w:ascii="宋体" w:hAnsi="宋体"/>
          <w:sz w:val="24"/>
        </w:rPr>
      </w:pPr>
      <w:r>
        <w:rPr>
          <w:rFonts w:hint="eastAsia" w:ascii="宋体" w:hAnsi="宋体"/>
          <w:sz w:val="24"/>
        </w:rPr>
        <w:t>竞价规则：竞价方式为“自由竞价”，竞价类型为“按包件”表示：竞价开始时间之后供应商可自由报价，次数无限制，系统将以供应商最后一次成功确认的报价作为最终报价，供应商应在竞价结束后上传报价文件；竞价期间，供应商能够看到己方的价格排名（排名第一是指供应商的报价在所有报价中最低）；限时时间是指竞价时长截止后将进入竞价限时时间，供应商在此时间内可自由报价，次数无限制，如有供应商报价，时间自动重置；限时内无供应商成功报价，限时倒计时截止即确定竞价结果（举例：17:00后进入10分钟限时时间，若17:05有供应商成功报价，则限时时间重置，即限时截止时间延长至17:15，以此类推）。</w:t>
      </w:r>
    </w:p>
    <w:p w14:paraId="1A9E9D24">
      <w:pPr>
        <w:pStyle w:val="3"/>
        <w:numPr>
          <w:ilvl w:val="0"/>
          <w:numId w:val="12"/>
        </w:numPr>
        <w:spacing w:before="100" w:after="100" w:line="240" w:lineRule="auto"/>
        <w:ind w:left="567" w:hanging="567"/>
        <w:rPr>
          <w:rFonts w:hint="eastAsia" w:ascii="宋体" w:hAnsi="宋体"/>
          <w:sz w:val="24"/>
          <w:szCs w:val="24"/>
        </w:rPr>
      </w:pPr>
      <w:bookmarkStart w:id="19" w:name="_Toc93495174"/>
      <w:bookmarkStart w:id="20" w:name="_Toc23300"/>
      <w:r>
        <w:rPr>
          <w:rFonts w:hint="eastAsia" w:ascii="宋体" w:hAnsi="宋体"/>
          <w:sz w:val="24"/>
          <w:szCs w:val="24"/>
        </w:rPr>
        <w:t>谈判</w:t>
      </w:r>
      <w:r>
        <w:rPr>
          <w:rFonts w:ascii="宋体" w:hAnsi="宋体"/>
          <w:sz w:val="24"/>
          <w:szCs w:val="24"/>
        </w:rPr>
        <w:t>安排</w:t>
      </w:r>
      <w:bookmarkEnd w:id="19"/>
      <w:bookmarkEnd w:id="20"/>
    </w:p>
    <w:p w14:paraId="32304989">
      <w:pPr>
        <w:widowControl/>
        <w:tabs>
          <w:tab w:val="left" w:pos="0"/>
        </w:tabs>
        <w:spacing w:line="360" w:lineRule="auto"/>
        <w:ind w:firstLine="480" w:firstLineChars="200"/>
        <w:rPr>
          <w:rFonts w:hint="eastAsia" w:ascii="宋体" w:hAnsi="宋体"/>
          <w:sz w:val="24"/>
        </w:rPr>
      </w:pPr>
      <w:r>
        <w:rPr>
          <w:rFonts w:hint="eastAsia" w:ascii="宋体" w:hAnsi="宋体"/>
          <w:sz w:val="24"/>
        </w:rPr>
        <w:t>本项目完成竞价后，原则上不安排谈判，采购人</w:t>
      </w:r>
      <w:r>
        <w:rPr>
          <w:rFonts w:ascii="宋体" w:hAnsi="宋体"/>
          <w:sz w:val="24"/>
        </w:rPr>
        <w:t>将</w:t>
      </w:r>
      <w:r>
        <w:rPr>
          <w:rFonts w:hint="eastAsia" w:ascii="宋体" w:hAnsi="宋体"/>
          <w:sz w:val="24"/>
        </w:rPr>
        <w:t>根据实际情况确定是否启动谈判，相关谈判安排以采购人通知为准。</w:t>
      </w:r>
    </w:p>
    <w:p w14:paraId="23E67EAC">
      <w:pPr>
        <w:pStyle w:val="3"/>
        <w:numPr>
          <w:ilvl w:val="0"/>
          <w:numId w:val="12"/>
        </w:numPr>
        <w:spacing w:before="100" w:after="100" w:line="240" w:lineRule="auto"/>
        <w:ind w:left="567" w:hanging="567"/>
        <w:rPr>
          <w:rFonts w:hint="eastAsia" w:ascii="宋体" w:hAnsi="宋体"/>
          <w:sz w:val="24"/>
          <w:szCs w:val="24"/>
        </w:rPr>
      </w:pPr>
      <w:bookmarkStart w:id="21" w:name="_Toc93495175"/>
      <w:bookmarkStart w:id="22" w:name="_Toc2591"/>
      <w:r>
        <w:rPr>
          <w:rFonts w:hint="eastAsia" w:ascii="宋体" w:hAnsi="宋体"/>
          <w:sz w:val="24"/>
          <w:szCs w:val="24"/>
        </w:rPr>
        <w:t>报价</w:t>
      </w:r>
      <w:r>
        <w:rPr>
          <w:rFonts w:ascii="宋体" w:hAnsi="宋体"/>
          <w:sz w:val="24"/>
          <w:szCs w:val="24"/>
        </w:rPr>
        <w:t>要求</w:t>
      </w:r>
      <w:bookmarkEnd w:id="21"/>
      <w:bookmarkEnd w:id="22"/>
    </w:p>
    <w:p w14:paraId="6D4FDDD7">
      <w:pPr>
        <w:pStyle w:val="37"/>
        <w:numPr>
          <w:ilvl w:val="0"/>
          <w:numId w:val="21"/>
        </w:numPr>
        <w:ind w:firstLineChars="0"/>
        <w:rPr>
          <w:rFonts w:hint="eastAsia" w:ascii="宋体" w:hAnsi="宋体"/>
          <w:vanish/>
          <w:sz w:val="28"/>
          <w:szCs w:val="28"/>
        </w:rPr>
      </w:pPr>
    </w:p>
    <w:p w14:paraId="2E577042">
      <w:pPr>
        <w:pStyle w:val="37"/>
        <w:numPr>
          <w:ilvl w:val="0"/>
          <w:numId w:val="21"/>
        </w:numPr>
        <w:ind w:firstLineChars="0"/>
        <w:rPr>
          <w:rFonts w:hint="eastAsia" w:ascii="宋体" w:hAnsi="宋体"/>
          <w:vanish/>
          <w:sz w:val="28"/>
          <w:szCs w:val="28"/>
        </w:rPr>
      </w:pPr>
    </w:p>
    <w:p w14:paraId="4745B619">
      <w:pPr>
        <w:numPr>
          <w:ilvl w:val="1"/>
          <w:numId w:val="21"/>
        </w:numPr>
        <w:spacing w:line="360" w:lineRule="auto"/>
        <w:ind w:left="0" w:firstLine="283" w:firstLineChars="118"/>
        <w:rPr>
          <w:rFonts w:hint="eastAsia" w:ascii="宋体" w:hAnsi="宋体"/>
          <w:sz w:val="24"/>
        </w:rPr>
      </w:pPr>
      <w:r>
        <w:rPr>
          <w:rFonts w:hint="eastAsia" w:ascii="宋体" w:hAnsi="宋体"/>
          <w:sz w:val="24"/>
        </w:rPr>
        <w:t>在竞价期间，供应商应在招采平台上填报含税总报价，竞价结束后24小时内将</w:t>
      </w:r>
      <w:r>
        <w:rPr>
          <w:rFonts w:ascii="宋体" w:hAnsi="宋体"/>
          <w:sz w:val="24"/>
        </w:rPr>
        <w:t>最终报价文件</w:t>
      </w:r>
      <w:r>
        <w:rPr>
          <w:rFonts w:hint="eastAsia" w:ascii="宋体" w:hAnsi="宋体"/>
          <w:sz w:val="24"/>
        </w:rPr>
        <w:t>（盖章扫描件+可编辑电子版）在招采平台上传，线下报价视为无效报价，最终报价文件不上传，视为“供应商在采购文件中规定的响应文件有效期内撤回其响应文件”。</w:t>
      </w:r>
    </w:p>
    <w:p w14:paraId="016FC863">
      <w:pPr>
        <w:numPr>
          <w:ilvl w:val="1"/>
          <w:numId w:val="21"/>
        </w:numPr>
        <w:spacing w:line="360" w:lineRule="auto"/>
        <w:ind w:left="0" w:firstLine="283" w:firstLineChars="118"/>
        <w:rPr>
          <w:rFonts w:hint="eastAsia" w:ascii="宋体" w:hAnsi="宋体"/>
          <w:sz w:val="24"/>
        </w:rPr>
      </w:pPr>
      <w:r>
        <w:rPr>
          <w:rFonts w:hint="eastAsia" w:ascii="宋体" w:hAnsi="宋体"/>
          <w:sz w:val="24"/>
        </w:rPr>
        <w:t xml:space="preserve"> 供应商</w:t>
      </w:r>
      <w:r>
        <w:rPr>
          <w:rFonts w:ascii="宋体" w:hAnsi="宋体"/>
          <w:sz w:val="24"/>
        </w:rPr>
        <w:t>需严格</w:t>
      </w:r>
      <w:r>
        <w:rPr>
          <w:rFonts w:hint="eastAsia" w:ascii="宋体" w:hAnsi="宋体"/>
          <w:sz w:val="24"/>
        </w:rPr>
        <w:t>按照采购人提供的报价文件内容</w:t>
      </w:r>
      <w:r>
        <w:rPr>
          <w:rFonts w:ascii="宋体" w:hAnsi="宋体"/>
          <w:sz w:val="24"/>
        </w:rPr>
        <w:t>和要求</w:t>
      </w:r>
      <w:r>
        <w:rPr>
          <w:rFonts w:hint="eastAsia" w:ascii="宋体" w:hAnsi="宋体"/>
          <w:sz w:val="24"/>
        </w:rPr>
        <w:t>进行</w:t>
      </w:r>
      <w:r>
        <w:rPr>
          <w:rFonts w:ascii="宋体" w:hAnsi="宋体"/>
          <w:sz w:val="24"/>
        </w:rPr>
        <w:t>报价，</w:t>
      </w:r>
      <w:r>
        <w:rPr>
          <w:rFonts w:hint="eastAsia" w:ascii="宋体" w:hAnsi="宋体"/>
          <w:sz w:val="24"/>
        </w:rPr>
        <w:t>填写报价文件，</w:t>
      </w:r>
      <w:r>
        <w:rPr>
          <w:rFonts w:ascii="宋体" w:hAnsi="宋体"/>
          <w:sz w:val="24"/>
        </w:rPr>
        <w:t>不得有任何遗漏或缺项</w:t>
      </w:r>
      <w:r>
        <w:rPr>
          <w:rFonts w:hint="eastAsia" w:ascii="宋体" w:hAnsi="宋体"/>
          <w:sz w:val="24"/>
        </w:rPr>
        <w:t>，</w:t>
      </w:r>
      <w:r>
        <w:rPr>
          <w:rFonts w:ascii="宋体" w:hAnsi="宋体"/>
          <w:sz w:val="24"/>
        </w:rPr>
        <w:t>否则按废标进行处理</w:t>
      </w:r>
      <w:r>
        <w:rPr>
          <w:rFonts w:hint="eastAsia" w:ascii="宋体" w:hAnsi="宋体"/>
          <w:sz w:val="24"/>
        </w:rPr>
        <w:t>。</w:t>
      </w:r>
    </w:p>
    <w:p w14:paraId="46F47016">
      <w:pPr>
        <w:numPr>
          <w:ilvl w:val="1"/>
          <w:numId w:val="21"/>
        </w:numPr>
        <w:spacing w:line="360" w:lineRule="auto"/>
        <w:ind w:left="0" w:firstLine="283" w:firstLineChars="118"/>
        <w:rPr>
          <w:rFonts w:hint="eastAsia" w:ascii="宋体" w:hAnsi="宋体"/>
          <w:sz w:val="24"/>
        </w:rPr>
      </w:pPr>
      <w:r>
        <w:rPr>
          <w:rFonts w:ascii="宋体" w:hAnsi="宋体"/>
          <w:sz w:val="24"/>
        </w:rPr>
        <w:t xml:space="preserve"> </w:t>
      </w:r>
      <w:r>
        <w:rPr>
          <w:rFonts w:hint="eastAsia" w:ascii="宋体" w:hAnsi="宋体"/>
          <w:sz w:val="24"/>
        </w:rPr>
        <w:t>供应商在平台上填报价格时，请务必认真仔细，确保平台中填报的价格和上传的报价文件中的价格严格一致，如两者不一致将可能导致废标，同时视为</w:t>
      </w:r>
      <w:r>
        <w:rPr>
          <w:rFonts w:ascii="宋体" w:hAnsi="宋体"/>
          <w:sz w:val="24"/>
        </w:rPr>
        <w:t>“</w:t>
      </w:r>
      <w:r>
        <w:rPr>
          <w:rFonts w:hint="eastAsia" w:ascii="宋体" w:hAnsi="宋体"/>
          <w:sz w:val="24"/>
        </w:rPr>
        <w:t>供应商在采购文件中规定的响应文件有效期内撤回其响应文件</w:t>
      </w:r>
      <w:r>
        <w:rPr>
          <w:rFonts w:ascii="宋体" w:hAnsi="宋体"/>
          <w:sz w:val="24"/>
        </w:rPr>
        <w:t>”</w:t>
      </w:r>
      <w:r>
        <w:rPr>
          <w:rFonts w:hint="eastAsia" w:ascii="宋体" w:hAnsi="宋体"/>
          <w:sz w:val="24"/>
        </w:rPr>
        <w:t>，没收投标保证金。</w:t>
      </w:r>
    </w:p>
    <w:p w14:paraId="351C3743">
      <w:pPr>
        <w:numPr>
          <w:ilvl w:val="1"/>
          <w:numId w:val="21"/>
        </w:numPr>
        <w:spacing w:line="360" w:lineRule="auto"/>
        <w:ind w:left="0" w:firstLine="283" w:firstLineChars="118"/>
        <w:rPr>
          <w:rFonts w:hint="eastAsia" w:ascii="宋体" w:hAnsi="宋体"/>
          <w:sz w:val="24"/>
        </w:rPr>
      </w:pPr>
      <w:r>
        <w:rPr>
          <w:rFonts w:hint="eastAsia" w:ascii="宋体" w:hAnsi="宋体"/>
          <w:sz w:val="24"/>
        </w:rPr>
        <w:t>竞价过程中请认真核对报价后再提交，若因操作失误导致报价错误，责任自负，对因报价失误造成的扰乱竞价排名将被没收投标保证金。</w:t>
      </w:r>
    </w:p>
    <w:p w14:paraId="12A7EACA">
      <w:pPr>
        <w:numPr>
          <w:ilvl w:val="1"/>
          <w:numId w:val="21"/>
        </w:numPr>
        <w:spacing w:line="360" w:lineRule="auto"/>
        <w:ind w:left="0" w:firstLine="283" w:firstLineChars="118"/>
        <w:rPr>
          <w:rFonts w:hint="eastAsia" w:ascii="宋体" w:hAnsi="宋体"/>
          <w:sz w:val="24"/>
        </w:rPr>
      </w:pPr>
      <w:r>
        <w:rPr>
          <w:rFonts w:hint="eastAsia" w:ascii="宋体" w:hAnsi="宋体"/>
          <w:sz w:val="24"/>
        </w:rPr>
        <w:t>供应</w:t>
      </w:r>
      <w:r>
        <w:rPr>
          <w:rFonts w:ascii="宋体" w:hAnsi="宋体"/>
          <w:sz w:val="24"/>
        </w:rPr>
        <w:t>商</w:t>
      </w:r>
      <w:r>
        <w:rPr>
          <w:rFonts w:hint="eastAsia" w:ascii="宋体" w:hAnsi="宋体"/>
          <w:sz w:val="24"/>
        </w:rPr>
        <w:t>未</w:t>
      </w:r>
      <w:r>
        <w:rPr>
          <w:rFonts w:ascii="宋体" w:hAnsi="宋体"/>
          <w:sz w:val="24"/>
        </w:rPr>
        <w:t>在</w:t>
      </w:r>
      <w:r>
        <w:rPr>
          <w:rFonts w:hint="eastAsia" w:ascii="宋体" w:hAnsi="宋体"/>
          <w:sz w:val="24"/>
        </w:rPr>
        <w:t>规定时间内按要求上传盖章版及电子版报价表，视为</w:t>
      </w:r>
      <w:r>
        <w:rPr>
          <w:rFonts w:ascii="宋体" w:hAnsi="宋体"/>
          <w:sz w:val="24"/>
        </w:rPr>
        <w:t>“</w:t>
      </w:r>
      <w:r>
        <w:rPr>
          <w:rFonts w:hint="eastAsia" w:ascii="宋体" w:hAnsi="宋体"/>
          <w:sz w:val="24"/>
        </w:rPr>
        <w:t>供应商在采购文件中规定的响应文件有效期内撤回其响应文件</w:t>
      </w:r>
      <w:r>
        <w:rPr>
          <w:rFonts w:ascii="宋体" w:hAnsi="宋体"/>
          <w:sz w:val="24"/>
        </w:rPr>
        <w:t>”</w:t>
      </w:r>
      <w:r>
        <w:rPr>
          <w:rFonts w:hint="eastAsia" w:ascii="宋体" w:hAnsi="宋体"/>
          <w:sz w:val="24"/>
        </w:rPr>
        <w:t>，没收投标保证金。</w:t>
      </w:r>
    </w:p>
    <w:p w14:paraId="368754EE">
      <w:pPr>
        <w:numPr>
          <w:ilvl w:val="1"/>
          <w:numId w:val="21"/>
        </w:numPr>
        <w:spacing w:line="360" w:lineRule="auto"/>
        <w:ind w:left="0" w:firstLine="283" w:firstLineChars="118"/>
        <w:rPr>
          <w:rFonts w:hint="eastAsia" w:ascii="宋体" w:hAnsi="宋体"/>
          <w:sz w:val="24"/>
        </w:rPr>
      </w:pPr>
      <w:r>
        <w:rPr>
          <w:rFonts w:hint="eastAsia" w:ascii="宋体" w:hAnsi="宋体"/>
          <w:sz w:val="24"/>
        </w:rPr>
        <w:t>供应商的报价应包括但不限于：货物的价款、包装、运输、装卸、安装、调试、技术指导、培训、咨询、服务、保险、增值税费、检测、验收合格交付使用之前以及技术和售后服务等其他各项有关费用。</w:t>
      </w:r>
    </w:p>
    <w:p w14:paraId="3FD01870">
      <w:pPr>
        <w:numPr>
          <w:ilvl w:val="1"/>
          <w:numId w:val="21"/>
        </w:numPr>
        <w:spacing w:line="360" w:lineRule="auto"/>
        <w:ind w:left="0" w:firstLine="283" w:firstLineChars="118"/>
        <w:rPr>
          <w:rFonts w:hint="eastAsia" w:ascii="宋体" w:hAnsi="宋体"/>
          <w:sz w:val="24"/>
        </w:rPr>
      </w:pPr>
      <w:r>
        <w:rPr>
          <w:rFonts w:hint="eastAsia" w:ascii="宋体" w:hAnsi="宋体"/>
          <w:sz w:val="24"/>
        </w:rPr>
        <w:t>报价</w:t>
      </w:r>
      <w:r>
        <w:rPr>
          <w:rFonts w:ascii="宋体" w:hAnsi="宋体"/>
          <w:sz w:val="24"/>
        </w:rPr>
        <w:t>在合同履行过程中是固定不变的，不得以任何理由予以变更，任何包括价格调整</w:t>
      </w:r>
      <w:r>
        <w:rPr>
          <w:rFonts w:hint="eastAsia" w:ascii="宋体" w:hAnsi="宋体"/>
          <w:sz w:val="24"/>
        </w:rPr>
        <w:t>要求</w:t>
      </w:r>
      <w:r>
        <w:rPr>
          <w:rFonts w:ascii="宋体" w:hAnsi="宋体"/>
          <w:sz w:val="24"/>
        </w:rPr>
        <w:t>的响应文件，响应无效</w:t>
      </w:r>
      <w:r>
        <w:rPr>
          <w:rFonts w:hint="eastAsia" w:ascii="宋体" w:hAnsi="宋体"/>
          <w:sz w:val="24"/>
        </w:rPr>
        <w:t>，有调价机制的参考调价机制执行。</w:t>
      </w:r>
    </w:p>
    <w:p w14:paraId="0B0EF988">
      <w:pPr>
        <w:numPr>
          <w:ilvl w:val="1"/>
          <w:numId w:val="21"/>
        </w:numPr>
        <w:spacing w:line="360" w:lineRule="auto"/>
        <w:ind w:left="0" w:firstLine="283" w:firstLineChars="118"/>
        <w:rPr>
          <w:rFonts w:hint="eastAsia" w:ascii="宋体" w:hAnsi="宋体"/>
          <w:sz w:val="24"/>
        </w:rPr>
      </w:pPr>
      <w:r>
        <w:rPr>
          <w:rFonts w:hint="eastAsia" w:ascii="宋体" w:hAnsi="宋体"/>
          <w:sz w:val="24"/>
        </w:rPr>
        <w:t>采购人</w:t>
      </w:r>
      <w:r>
        <w:rPr>
          <w:rFonts w:ascii="宋体" w:hAnsi="宋体"/>
          <w:sz w:val="24"/>
        </w:rPr>
        <w:t>不接受因网络、</w:t>
      </w:r>
      <w:r>
        <w:rPr>
          <w:rFonts w:hint="eastAsia" w:ascii="宋体" w:hAnsi="宋体"/>
          <w:sz w:val="24"/>
        </w:rPr>
        <w:t>浏览器</w:t>
      </w:r>
      <w:r>
        <w:rPr>
          <w:rFonts w:ascii="宋体" w:hAnsi="宋体"/>
          <w:sz w:val="24"/>
        </w:rPr>
        <w:t>、电脑及其他</w:t>
      </w:r>
      <w:r>
        <w:rPr>
          <w:rFonts w:hint="eastAsia" w:ascii="宋体" w:hAnsi="宋体"/>
          <w:sz w:val="24"/>
        </w:rPr>
        <w:t>设施或软件问题导致的出价不及时或竞价失败等情况的申诉和质疑。</w:t>
      </w:r>
    </w:p>
    <w:p w14:paraId="2BB4E63D">
      <w:pPr>
        <w:numPr>
          <w:ilvl w:val="1"/>
          <w:numId w:val="21"/>
        </w:numPr>
        <w:spacing w:line="360" w:lineRule="auto"/>
        <w:ind w:left="0" w:firstLine="283" w:firstLineChars="118"/>
        <w:rPr>
          <w:rFonts w:hint="eastAsia" w:ascii="宋体" w:hAnsi="宋体"/>
          <w:sz w:val="24"/>
        </w:rPr>
      </w:pPr>
      <w:r>
        <w:rPr>
          <w:rFonts w:hint="eastAsia" w:ascii="宋体" w:hAnsi="宋体"/>
          <w:sz w:val="24"/>
        </w:rPr>
        <w:t>其他说明</w:t>
      </w:r>
      <w:r>
        <w:rPr>
          <w:rFonts w:ascii="宋体" w:hAnsi="宋体"/>
          <w:sz w:val="24"/>
        </w:rPr>
        <w:t>：</w:t>
      </w:r>
      <w:r>
        <w:rPr>
          <w:rFonts w:hint="eastAsia" w:ascii="宋体" w:hAnsi="宋体"/>
          <w:sz w:val="24"/>
          <w:u w:val="single"/>
        </w:rPr>
        <w:t xml:space="preserve">   无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w:t>
      </w:r>
    </w:p>
    <w:p w14:paraId="48DE743A">
      <w:pPr>
        <w:pStyle w:val="3"/>
        <w:numPr>
          <w:ilvl w:val="0"/>
          <w:numId w:val="12"/>
        </w:numPr>
        <w:spacing w:before="100" w:after="100" w:line="240" w:lineRule="auto"/>
        <w:ind w:left="567" w:hanging="567"/>
        <w:rPr>
          <w:rFonts w:hint="eastAsia" w:ascii="宋体" w:hAnsi="宋体"/>
          <w:sz w:val="24"/>
          <w:szCs w:val="24"/>
        </w:rPr>
      </w:pPr>
      <w:bookmarkStart w:id="23" w:name="_Toc25605"/>
      <w:bookmarkStart w:id="24" w:name="_Toc93495176"/>
      <w:r>
        <w:rPr>
          <w:rFonts w:ascii="宋体" w:hAnsi="宋体"/>
          <w:sz w:val="24"/>
          <w:szCs w:val="24"/>
        </w:rPr>
        <w:t>合同</w:t>
      </w:r>
      <w:r>
        <w:rPr>
          <w:rFonts w:hint="eastAsia" w:ascii="宋体" w:hAnsi="宋体"/>
          <w:sz w:val="24"/>
          <w:szCs w:val="24"/>
        </w:rPr>
        <w:t>签订</w:t>
      </w:r>
      <w:bookmarkEnd w:id="23"/>
      <w:bookmarkEnd w:id="24"/>
    </w:p>
    <w:p w14:paraId="19CE4C7F">
      <w:pPr>
        <w:spacing w:line="360" w:lineRule="auto"/>
        <w:ind w:firstLine="480" w:firstLineChars="200"/>
        <w:rPr>
          <w:rFonts w:hint="eastAsia" w:ascii="宋体" w:hAnsi="宋体"/>
          <w:sz w:val="24"/>
        </w:rPr>
      </w:pPr>
      <w:r>
        <w:rPr>
          <w:rFonts w:hint="eastAsia" w:ascii="宋体" w:hAnsi="宋体"/>
          <w:sz w:val="24"/>
        </w:rPr>
        <w:t>本采购将由“</w:t>
      </w:r>
      <w:r>
        <w:rPr>
          <w:rFonts w:ascii="宋体" w:hAnsi="宋体"/>
          <w:sz w:val="24"/>
          <w:u w:val="single"/>
        </w:rPr>
        <w:t xml:space="preserve"> </w:t>
      </w:r>
      <w:r>
        <w:rPr>
          <w:rFonts w:hint="eastAsia" w:ascii="宋体" w:hAnsi="宋体"/>
          <w:sz w:val="24"/>
          <w:u w:val="single"/>
          <w:lang w:val="en-US" w:eastAsia="zh-CN"/>
        </w:rPr>
        <w:t>秦皇</w:t>
      </w:r>
      <w:r>
        <w:rPr>
          <w:rFonts w:hint="eastAsia" w:ascii="宋体" w:hAnsi="宋体"/>
          <w:sz w:val="24"/>
          <w:highlight w:val="none"/>
          <w:u w:val="single"/>
          <w:lang w:val="en-US" w:eastAsia="zh-CN"/>
        </w:rPr>
        <w:t>岛</w:t>
      </w:r>
      <w:r>
        <w:rPr>
          <w:rFonts w:hint="eastAsia" w:ascii="宋体" w:hAnsi="宋体"/>
          <w:sz w:val="24"/>
          <w:highlight w:val="none"/>
          <w:u w:val="single"/>
        </w:rPr>
        <w:t>中燃燃气有限</w:t>
      </w:r>
      <w:r>
        <w:rPr>
          <w:rFonts w:hint="eastAsia" w:ascii="宋体" w:hAnsi="宋体"/>
          <w:sz w:val="24"/>
          <w:highlight w:val="none"/>
        </w:rPr>
        <w:t>公司</w:t>
      </w:r>
      <w:r>
        <w:rPr>
          <w:rFonts w:hint="eastAsia" w:ascii="宋体" w:hAnsi="宋体"/>
          <w:sz w:val="24"/>
        </w:rPr>
        <w:t>”与成交供应商签订经中燃集团审批的货物</w:t>
      </w:r>
      <w:r>
        <w:rPr>
          <w:rFonts w:ascii="宋体" w:hAnsi="宋体"/>
          <w:sz w:val="24"/>
        </w:rPr>
        <w:t>类</w:t>
      </w:r>
      <w:r>
        <w:rPr>
          <w:rFonts w:hint="eastAsia" w:ascii="宋体" w:hAnsi="宋体"/>
          <w:sz w:val="24"/>
        </w:rPr>
        <w:t>合同。招标结果公示截止日期后，成交供应商应在5个自然日内缴纳成交服务</w:t>
      </w:r>
      <w:r>
        <w:rPr>
          <w:rFonts w:hint="eastAsia" w:ascii="宋体" w:hAnsi="宋体"/>
          <w:sz w:val="24"/>
          <w:highlight w:val="none"/>
        </w:rPr>
        <w:t>费并与</w:t>
      </w:r>
      <w:r>
        <w:rPr>
          <w:rFonts w:hint="eastAsia" w:ascii="宋体" w:hAnsi="宋体"/>
          <w:sz w:val="24"/>
          <w:highlight w:val="none"/>
          <w:u w:val="single"/>
        </w:rPr>
        <w:t xml:space="preserve"> </w:t>
      </w:r>
      <w:r>
        <w:rPr>
          <w:rFonts w:hint="eastAsia" w:ascii="宋体" w:hAnsi="宋体"/>
          <w:sz w:val="24"/>
          <w:highlight w:val="none"/>
          <w:u w:val="single"/>
          <w:lang w:val="en-US" w:eastAsia="zh-CN"/>
        </w:rPr>
        <w:t>秦皇岛</w:t>
      </w:r>
      <w:r>
        <w:rPr>
          <w:rFonts w:hint="eastAsia" w:ascii="宋体" w:hAnsi="宋体"/>
          <w:sz w:val="24"/>
          <w:highlight w:val="none"/>
          <w:u w:val="single"/>
        </w:rPr>
        <w:t>中燃燃气有限</w:t>
      </w:r>
      <w:r>
        <w:rPr>
          <w:rFonts w:hint="eastAsia" w:ascii="宋体" w:hAnsi="宋体"/>
          <w:sz w:val="24"/>
          <w:highlight w:val="none"/>
        </w:rPr>
        <w:t>公司签</w:t>
      </w:r>
      <w:r>
        <w:rPr>
          <w:rFonts w:hint="eastAsia" w:ascii="宋体" w:hAnsi="宋体"/>
          <w:sz w:val="24"/>
        </w:rPr>
        <w:t>订合同。</w:t>
      </w:r>
      <w:bookmarkStart w:id="35" w:name="_GoBack"/>
      <w:bookmarkEnd w:id="35"/>
    </w:p>
    <w:p w14:paraId="72FE5A13">
      <w:pPr>
        <w:pStyle w:val="3"/>
        <w:numPr>
          <w:ilvl w:val="0"/>
          <w:numId w:val="12"/>
        </w:numPr>
        <w:spacing w:before="100" w:after="100" w:line="240" w:lineRule="auto"/>
        <w:ind w:left="567" w:hanging="567"/>
        <w:rPr>
          <w:rFonts w:hint="eastAsia" w:ascii="宋体" w:hAnsi="宋体"/>
          <w:sz w:val="24"/>
          <w:szCs w:val="24"/>
        </w:rPr>
      </w:pPr>
      <w:bookmarkStart w:id="25" w:name="_Toc93495177"/>
      <w:bookmarkStart w:id="26" w:name="_Toc14177"/>
      <w:r>
        <w:rPr>
          <w:rFonts w:hint="eastAsia" w:ascii="宋体" w:hAnsi="宋体"/>
          <w:sz w:val="24"/>
          <w:szCs w:val="24"/>
        </w:rPr>
        <w:t>付款方式</w:t>
      </w:r>
      <w:bookmarkEnd w:id="25"/>
      <w:bookmarkEnd w:id="26"/>
    </w:p>
    <w:p w14:paraId="728CFAF8">
      <w:pPr>
        <w:spacing w:line="360" w:lineRule="auto"/>
        <w:ind w:firstLine="600" w:firstLineChars="250"/>
        <w:rPr>
          <w:rFonts w:hint="eastAsia" w:ascii="宋体" w:hAnsi="宋体"/>
          <w:color w:val="auto"/>
          <w:sz w:val="24"/>
        </w:rPr>
      </w:pPr>
      <w:bookmarkStart w:id="27" w:name="_Toc57294512"/>
      <w:bookmarkStart w:id="28" w:name="_Toc93495178"/>
      <w:r>
        <w:rPr>
          <w:rFonts w:hint="eastAsia" w:ascii="宋体" w:hAnsi="宋体"/>
          <w:color w:val="auto"/>
          <w:sz w:val="24"/>
        </w:rPr>
        <w:t>要求预付款30%，货到验收合格65%，5%质保金，质保期为：自货到验收日2年。</w:t>
      </w:r>
    </w:p>
    <w:p w14:paraId="625FC27C">
      <w:pPr>
        <w:pStyle w:val="3"/>
        <w:numPr>
          <w:ilvl w:val="0"/>
          <w:numId w:val="12"/>
        </w:numPr>
        <w:spacing w:before="100" w:after="100" w:line="240" w:lineRule="auto"/>
        <w:ind w:left="567" w:hanging="567"/>
        <w:rPr>
          <w:rFonts w:hint="eastAsia" w:ascii="宋体" w:hAnsi="宋体"/>
          <w:sz w:val="24"/>
          <w:szCs w:val="24"/>
        </w:rPr>
      </w:pPr>
      <w:bookmarkStart w:id="29" w:name="_Toc5650"/>
      <w:r>
        <w:rPr>
          <w:rFonts w:hint="eastAsia" w:ascii="宋体" w:hAnsi="宋体"/>
          <w:sz w:val="24"/>
          <w:szCs w:val="24"/>
        </w:rPr>
        <w:t>成交服务费</w:t>
      </w:r>
      <w:bookmarkEnd w:id="27"/>
      <w:bookmarkEnd w:id="28"/>
      <w:bookmarkEnd w:id="29"/>
    </w:p>
    <w:p w14:paraId="1EB01AD3">
      <w:pPr>
        <w:spacing w:line="360" w:lineRule="auto"/>
        <w:ind w:firstLine="480" w:firstLineChars="200"/>
        <w:rPr>
          <w:rFonts w:hint="eastAsia" w:ascii="宋体" w:hAnsi="宋体"/>
          <w:sz w:val="24"/>
        </w:rPr>
      </w:pPr>
      <w:r>
        <w:rPr>
          <w:rFonts w:hint="eastAsia" w:ascii="宋体" w:hAnsi="宋体"/>
          <w:sz w:val="24"/>
        </w:rPr>
        <w:t>依据《中国燃气电子招标交易平台收费管理办法》，本项目的成交服务费，按孰低原则，适用按成交金额以差额定率累进法或者成交价格的0.35%计收，由成交供应商支付。成交供应商应在接到中选通知后，以银行转账或第三方支付（微信、支付宝）的方式缴纳成交服务费。</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1806"/>
        <w:gridCol w:w="4527"/>
      </w:tblGrid>
      <w:tr w14:paraId="18EE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center"/>
          </w:tcPr>
          <w:p w14:paraId="185711D4">
            <w:pPr>
              <w:spacing w:line="360" w:lineRule="auto"/>
              <w:jc w:val="center"/>
              <w:rPr>
                <w:rFonts w:hint="eastAsia" w:ascii="宋体" w:hAnsi="宋体"/>
                <w:b/>
                <w:sz w:val="24"/>
              </w:rPr>
            </w:pPr>
            <w:r>
              <w:rPr>
                <w:rFonts w:hint="eastAsia" w:ascii="宋体" w:hAnsi="宋体"/>
                <w:b/>
                <w:sz w:val="24"/>
              </w:rPr>
              <w:t>分类</w:t>
            </w:r>
          </w:p>
        </w:tc>
        <w:tc>
          <w:tcPr>
            <w:tcW w:w="2126" w:type="dxa"/>
            <w:vAlign w:val="center"/>
          </w:tcPr>
          <w:p w14:paraId="275B79A8">
            <w:pPr>
              <w:spacing w:line="360" w:lineRule="auto"/>
              <w:jc w:val="center"/>
              <w:rPr>
                <w:rFonts w:hint="eastAsia" w:ascii="宋体" w:hAnsi="宋体"/>
                <w:b/>
                <w:sz w:val="24"/>
              </w:rPr>
            </w:pPr>
            <w:r>
              <w:rPr>
                <w:rFonts w:hint="eastAsia" w:ascii="宋体" w:hAnsi="宋体"/>
                <w:b/>
                <w:sz w:val="24"/>
              </w:rPr>
              <w:t>“</w:t>
            </w:r>
            <w:r>
              <w:rPr>
                <w:rFonts w:ascii="宋体" w:hAnsi="宋体"/>
                <w:b/>
                <w:sz w:val="24"/>
              </w:rPr>
              <w:t>临界点</w:t>
            </w:r>
            <w:r>
              <w:rPr>
                <w:rFonts w:hint="eastAsia" w:ascii="宋体" w:hAnsi="宋体"/>
                <w:b/>
                <w:sz w:val="24"/>
              </w:rPr>
              <w:t>”</w:t>
            </w:r>
          </w:p>
        </w:tc>
        <w:tc>
          <w:tcPr>
            <w:tcW w:w="5528" w:type="dxa"/>
            <w:vAlign w:val="center"/>
          </w:tcPr>
          <w:p w14:paraId="43A50456">
            <w:pPr>
              <w:spacing w:line="360" w:lineRule="auto"/>
              <w:jc w:val="center"/>
              <w:rPr>
                <w:rFonts w:hint="eastAsia" w:ascii="宋体" w:hAnsi="宋体"/>
                <w:b/>
                <w:sz w:val="24"/>
              </w:rPr>
            </w:pPr>
            <w:r>
              <w:rPr>
                <w:rFonts w:hint="eastAsia" w:ascii="宋体" w:hAnsi="宋体"/>
                <w:b/>
                <w:sz w:val="24"/>
              </w:rPr>
              <w:t>收费标准设定</w:t>
            </w:r>
          </w:p>
        </w:tc>
      </w:tr>
      <w:tr w14:paraId="059A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9" w:type="dxa"/>
            <w:vAlign w:val="center"/>
          </w:tcPr>
          <w:p w14:paraId="228E6DAB">
            <w:pPr>
              <w:spacing w:line="360" w:lineRule="auto"/>
              <w:jc w:val="center"/>
              <w:rPr>
                <w:rFonts w:hint="eastAsia" w:ascii="宋体" w:hAnsi="宋体"/>
                <w:sz w:val="24"/>
              </w:rPr>
            </w:pPr>
            <w:r>
              <w:rPr>
                <w:rFonts w:hint="eastAsia" w:ascii="宋体" w:hAnsi="宋体"/>
                <w:sz w:val="24"/>
              </w:rPr>
              <w:t>货物类</w:t>
            </w:r>
          </w:p>
        </w:tc>
        <w:tc>
          <w:tcPr>
            <w:tcW w:w="2126" w:type="dxa"/>
            <w:vAlign w:val="center"/>
          </w:tcPr>
          <w:p w14:paraId="31C92C21">
            <w:pPr>
              <w:spacing w:line="360" w:lineRule="auto"/>
              <w:jc w:val="center"/>
              <w:rPr>
                <w:rFonts w:hint="eastAsia" w:ascii="宋体" w:hAnsi="宋体"/>
                <w:sz w:val="24"/>
              </w:rPr>
            </w:pPr>
            <w:r>
              <w:rPr>
                <w:rFonts w:hint="eastAsia" w:ascii="宋体" w:hAnsi="宋体"/>
                <w:sz w:val="24"/>
              </w:rPr>
              <w:t>9000万元</w:t>
            </w:r>
          </w:p>
        </w:tc>
        <w:tc>
          <w:tcPr>
            <w:tcW w:w="5528" w:type="dxa"/>
            <w:vMerge w:val="restart"/>
          </w:tcPr>
          <w:p w14:paraId="3F16C95B">
            <w:pPr>
              <w:spacing w:line="360" w:lineRule="auto"/>
              <w:rPr>
                <w:rFonts w:hint="eastAsia" w:ascii="宋体" w:hAnsi="宋体"/>
                <w:sz w:val="24"/>
              </w:rPr>
            </w:pPr>
            <w:r>
              <w:rPr>
                <w:rFonts w:hint="eastAsia" w:ascii="宋体" w:hAnsi="宋体"/>
                <w:sz w:val="24"/>
              </w:rPr>
              <w:t>1、</w:t>
            </w:r>
            <w:r>
              <w:rPr>
                <w:rFonts w:ascii="宋体" w:hAnsi="宋体"/>
                <w:sz w:val="24"/>
              </w:rPr>
              <w:t>“临界点”以上</w:t>
            </w:r>
            <w:r>
              <w:rPr>
                <w:rFonts w:hint="eastAsia" w:ascii="宋体" w:hAnsi="宋体"/>
                <w:sz w:val="24"/>
              </w:rPr>
              <w:t>（</w:t>
            </w:r>
            <w:r>
              <w:rPr>
                <w:rFonts w:ascii="宋体" w:hAnsi="宋体"/>
                <w:sz w:val="24"/>
              </w:rPr>
              <w:t>含</w:t>
            </w:r>
            <w:r>
              <w:rPr>
                <w:rFonts w:hint="eastAsia" w:ascii="宋体" w:hAnsi="宋体"/>
                <w:sz w:val="24"/>
              </w:rPr>
              <w:t>）</w:t>
            </w:r>
            <w:r>
              <w:rPr>
                <w:rFonts w:ascii="宋体" w:hAnsi="宋体"/>
                <w:sz w:val="24"/>
              </w:rPr>
              <w:t>：按</w:t>
            </w:r>
            <w:r>
              <w:rPr>
                <w:rFonts w:hint="eastAsia" w:ascii="宋体" w:hAnsi="宋体"/>
                <w:sz w:val="24"/>
              </w:rPr>
              <w:t>差额定率累进法计成交服务费；</w:t>
            </w:r>
          </w:p>
          <w:p w14:paraId="397876A9">
            <w:pPr>
              <w:spacing w:line="360" w:lineRule="auto"/>
              <w:rPr>
                <w:rFonts w:hint="eastAsia" w:ascii="宋体" w:hAnsi="宋体"/>
                <w:sz w:val="24"/>
              </w:rPr>
            </w:pPr>
            <w:r>
              <w:rPr>
                <w:rFonts w:ascii="宋体" w:hAnsi="宋体"/>
                <w:sz w:val="24"/>
              </w:rPr>
              <w:t>2</w:t>
            </w:r>
            <w:r>
              <w:rPr>
                <w:rFonts w:hint="eastAsia" w:ascii="宋体" w:hAnsi="宋体"/>
                <w:sz w:val="24"/>
              </w:rPr>
              <w:t>、“临界点</w:t>
            </w:r>
            <w:r>
              <w:rPr>
                <w:rFonts w:ascii="宋体" w:hAnsi="宋体"/>
                <w:sz w:val="24"/>
              </w:rPr>
              <w:t>”</w:t>
            </w:r>
            <w:r>
              <w:rPr>
                <w:rFonts w:hint="eastAsia" w:ascii="宋体" w:hAnsi="宋体"/>
                <w:sz w:val="24"/>
              </w:rPr>
              <w:t>以下：</w:t>
            </w:r>
            <w:r>
              <w:rPr>
                <w:rFonts w:ascii="宋体" w:hAnsi="宋体"/>
                <w:sz w:val="24"/>
              </w:rPr>
              <w:t>按</w:t>
            </w:r>
            <w:r>
              <w:rPr>
                <w:rFonts w:hint="eastAsia" w:ascii="宋体" w:hAnsi="宋体"/>
                <w:sz w:val="24"/>
              </w:rPr>
              <w:t>固定费率法（</w:t>
            </w:r>
            <w:r>
              <w:rPr>
                <w:rFonts w:ascii="宋体" w:hAnsi="宋体"/>
                <w:sz w:val="24"/>
              </w:rPr>
              <w:t>即</w:t>
            </w:r>
            <w:r>
              <w:rPr>
                <w:rFonts w:hint="eastAsia" w:ascii="宋体" w:hAnsi="宋体"/>
                <w:sz w:val="24"/>
              </w:rPr>
              <w:t>成交价格的0</w:t>
            </w:r>
            <w:r>
              <w:rPr>
                <w:rFonts w:ascii="宋体" w:hAnsi="宋体"/>
                <w:sz w:val="24"/>
              </w:rPr>
              <w:t>.35%）</w:t>
            </w:r>
            <w:r>
              <w:rPr>
                <w:rFonts w:hint="eastAsia" w:ascii="宋体" w:hAnsi="宋体"/>
                <w:sz w:val="24"/>
              </w:rPr>
              <w:t>计成交服务费。</w:t>
            </w:r>
          </w:p>
        </w:tc>
      </w:tr>
      <w:tr w14:paraId="7E66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689" w:type="dxa"/>
            <w:vAlign w:val="center"/>
          </w:tcPr>
          <w:p w14:paraId="626410CF">
            <w:pPr>
              <w:spacing w:line="360" w:lineRule="auto"/>
              <w:jc w:val="center"/>
              <w:rPr>
                <w:rFonts w:hint="eastAsia" w:ascii="宋体" w:hAnsi="宋体"/>
                <w:sz w:val="24"/>
              </w:rPr>
            </w:pPr>
            <w:r>
              <w:rPr>
                <w:rFonts w:hint="eastAsia" w:ascii="宋体" w:hAnsi="宋体"/>
                <w:sz w:val="24"/>
              </w:rPr>
              <w:t>工程类</w:t>
            </w:r>
          </w:p>
        </w:tc>
        <w:tc>
          <w:tcPr>
            <w:tcW w:w="2126" w:type="dxa"/>
            <w:vAlign w:val="center"/>
          </w:tcPr>
          <w:p w14:paraId="531AFF83">
            <w:pPr>
              <w:spacing w:line="360" w:lineRule="auto"/>
              <w:jc w:val="center"/>
              <w:rPr>
                <w:rFonts w:hint="eastAsia" w:ascii="宋体" w:hAnsi="宋体"/>
                <w:sz w:val="24"/>
              </w:rPr>
            </w:pPr>
            <w:r>
              <w:rPr>
                <w:rFonts w:hint="eastAsia" w:ascii="宋体" w:hAnsi="宋体"/>
                <w:sz w:val="24"/>
              </w:rPr>
              <w:t>3000万元</w:t>
            </w:r>
          </w:p>
        </w:tc>
        <w:tc>
          <w:tcPr>
            <w:tcW w:w="5528" w:type="dxa"/>
            <w:vMerge w:val="continue"/>
          </w:tcPr>
          <w:p w14:paraId="604777A0">
            <w:pPr>
              <w:spacing w:line="360" w:lineRule="auto"/>
              <w:rPr>
                <w:rFonts w:hint="eastAsia" w:ascii="宋体" w:hAnsi="宋体"/>
                <w:sz w:val="24"/>
              </w:rPr>
            </w:pPr>
          </w:p>
        </w:tc>
      </w:tr>
      <w:tr w14:paraId="3C1C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2689" w:type="dxa"/>
            <w:vAlign w:val="center"/>
          </w:tcPr>
          <w:p w14:paraId="2224E792">
            <w:pPr>
              <w:spacing w:line="360" w:lineRule="auto"/>
              <w:jc w:val="center"/>
              <w:rPr>
                <w:rFonts w:hint="eastAsia" w:ascii="宋体" w:hAnsi="宋体"/>
                <w:sz w:val="24"/>
              </w:rPr>
            </w:pPr>
            <w:r>
              <w:rPr>
                <w:rFonts w:hint="eastAsia" w:ascii="宋体" w:hAnsi="宋体"/>
                <w:sz w:val="24"/>
              </w:rPr>
              <w:t>服务类</w:t>
            </w:r>
          </w:p>
        </w:tc>
        <w:tc>
          <w:tcPr>
            <w:tcW w:w="2126" w:type="dxa"/>
            <w:vAlign w:val="center"/>
          </w:tcPr>
          <w:p w14:paraId="05EEE39C">
            <w:pPr>
              <w:spacing w:line="360" w:lineRule="auto"/>
              <w:jc w:val="center"/>
              <w:rPr>
                <w:rFonts w:hint="eastAsia" w:ascii="宋体" w:hAnsi="宋体"/>
                <w:sz w:val="24"/>
              </w:rPr>
            </w:pPr>
            <w:r>
              <w:rPr>
                <w:rFonts w:hint="eastAsia" w:ascii="宋体" w:hAnsi="宋体"/>
                <w:sz w:val="24"/>
              </w:rPr>
              <w:t>2000万元</w:t>
            </w:r>
          </w:p>
        </w:tc>
        <w:tc>
          <w:tcPr>
            <w:tcW w:w="5528" w:type="dxa"/>
            <w:vMerge w:val="continue"/>
          </w:tcPr>
          <w:p w14:paraId="52B5F8B9">
            <w:pPr>
              <w:spacing w:line="360" w:lineRule="auto"/>
              <w:rPr>
                <w:rFonts w:hint="eastAsia" w:ascii="宋体" w:hAnsi="宋体"/>
                <w:sz w:val="24"/>
              </w:rPr>
            </w:pPr>
          </w:p>
        </w:tc>
      </w:tr>
    </w:tbl>
    <w:p w14:paraId="10D88040">
      <w:pPr>
        <w:pStyle w:val="3"/>
        <w:numPr>
          <w:ilvl w:val="0"/>
          <w:numId w:val="12"/>
        </w:numPr>
        <w:spacing w:before="100" w:after="100" w:line="240" w:lineRule="auto"/>
        <w:ind w:left="567" w:hanging="567"/>
        <w:rPr>
          <w:rFonts w:hint="eastAsia" w:ascii="宋体" w:hAnsi="宋体"/>
          <w:sz w:val="24"/>
          <w:szCs w:val="24"/>
        </w:rPr>
      </w:pPr>
      <w:bookmarkStart w:id="30" w:name="_Toc15326"/>
      <w:r>
        <w:rPr>
          <w:rFonts w:hint="eastAsia" w:ascii="宋体" w:hAnsi="宋体"/>
          <w:sz w:val="24"/>
          <w:szCs w:val="24"/>
        </w:rPr>
        <w:t>联系</w:t>
      </w:r>
      <w:r>
        <w:rPr>
          <w:rFonts w:ascii="宋体" w:hAnsi="宋体"/>
          <w:sz w:val="24"/>
          <w:szCs w:val="24"/>
        </w:rPr>
        <w:t>方式</w:t>
      </w:r>
      <w:bookmarkEnd w:id="30"/>
    </w:p>
    <w:tbl>
      <w:tblPr>
        <w:tblStyle w:val="13"/>
        <w:tblW w:w="7804" w:type="dxa"/>
        <w:tblInd w:w="375" w:type="dxa"/>
        <w:tblLayout w:type="fixed"/>
        <w:tblCellMar>
          <w:top w:w="0" w:type="dxa"/>
          <w:left w:w="108" w:type="dxa"/>
          <w:bottom w:w="0" w:type="dxa"/>
          <w:right w:w="108" w:type="dxa"/>
        </w:tblCellMar>
      </w:tblPr>
      <w:tblGrid>
        <w:gridCol w:w="3918"/>
        <w:gridCol w:w="3886"/>
      </w:tblGrid>
      <w:tr w14:paraId="7B442755">
        <w:tblPrEx>
          <w:tblCellMar>
            <w:top w:w="0" w:type="dxa"/>
            <w:left w:w="108" w:type="dxa"/>
            <w:bottom w:w="0" w:type="dxa"/>
            <w:right w:w="108" w:type="dxa"/>
          </w:tblCellMar>
        </w:tblPrEx>
        <w:trPr>
          <w:trHeight w:val="559" w:hRule="atLeast"/>
        </w:trPr>
        <w:tc>
          <w:tcPr>
            <w:tcW w:w="3918" w:type="dxa"/>
            <w:vAlign w:val="bottom"/>
          </w:tcPr>
          <w:p w14:paraId="3FB8A860">
            <w:pPr>
              <w:rPr>
                <w:rFonts w:hint="eastAsia" w:ascii="宋体" w:hAnsi="宋体"/>
                <w:sz w:val="24"/>
                <w:highlight w:val="none"/>
              </w:rPr>
            </w:pPr>
            <w:r>
              <w:rPr>
                <w:rFonts w:hint="eastAsia" w:ascii="宋体" w:hAnsi="宋体"/>
                <w:sz w:val="24"/>
                <w:highlight w:val="none"/>
              </w:rPr>
              <w:t>采 购 人：</w:t>
            </w:r>
            <w:r>
              <w:rPr>
                <w:rFonts w:hint="eastAsia" w:ascii="宋体" w:hAnsi="宋体"/>
                <w:sz w:val="24"/>
                <w:highlight w:val="none"/>
                <w:u w:val="single"/>
              </w:rPr>
              <w:t xml:space="preserve"> </w:t>
            </w:r>
            <w:r>
              <w:rPr>
                <w:rFonts w:hint="eastAsia" w:ascii="宋体" w:hAnsi="宋体"/>
                <w:sz w:val="24"/>
                <w:highlight w:val="none"/>
                <w:u w:val="single"/>
                <w:lang w:val="en-US" w:eastAsia="zh-CN"/>
              </w:rPr>
              <w:t>秦皇岛</w:t>
            </w:r>
            <w:r>
              <w:rPr>
                <w:rFonts w:hint="eastAsia" w:ascii="宋体" w:hAnsi="宋体"/>
                <w:sz w:val="24"/>
                <w:highlight w:val="none"/>
                <w:u w:val="single"/>
              </w:rPr>
              <w:t xml:space="preserve">中燃燃气有限公司  </w:t>
            </w:r>
          </w:p>
        </w:tc>
        <w:tc>
          <w:tcPr>
            <w:tcW w:w="3886" w:type="dxa"/>
            <w:vAlign w:val="bottom"/>
          </w:tcPr>
          <w:p w14:paraId="615BAE2A">
            <w:pPr>
              <w:rPr>
                <w:rFonts w:hint="eastAsia" w:ascii="宋体" w:hAnsi="宋体"/>
                <w:sz w:val="24"/>
              </w:rPr>
            </w:pPr>
            <w:r>
              <w:rPr>
                <w:rFonts w:hint="eastAsia" w:ascii="宋体" w:hAnsi="宋体"/>
                <w:sz w:val="24"/>
              </w:rPr>
              <w:t>采购代理机构：</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tc>
      </w:tr>
      <w:tr w14:paraId="0AA49C80">
        <w:tblPrEx>
          <w:tblCellMar>
            <w:top w:w="0" w:type="dxa"/>
            <w:left w:w="108" w:type="dxa"/>
            <w:bottom w:w="0" w:type="dxa"/>
            <w:right w:w="108" w:type="dxa"/>
          </w:tblCellMar>
        </w:tblPrEx>
        <w:trPr>
          <w:trHeight w:val="559" w:hRule="atLeast"/>
        </w:trPr>
        <w:tc>
          <w:tcPr>
            <w:tcW w:w="3918" w:type="dxa"/>
            <w:vAlign w:val="bottom"/>
          </w:tcPr>
          <w:p w14:paraId="54C45F12">
            <w:pPr>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 xml:space="preserve"> </w:t>
            </w:r>
            <w:r>
              <w:rPr>
                <w:rFonts w:hint="eastAsia" w:ascii="宋体" w:hAnsi="宋体"/>
                <w:sz w:val="24"/>
                <w:highlight w:val="none"/>
                <w:u w:val="single"/>
                <w:lang w:val="en-US" w:eastAsia="zh-CN"/>
              </w:rPr>
              <w:t>河北省秦皇岛市昌黎县龙家店镇后土桥</w:t>
            </w:r>
            <w:r>
              <w:rPr>
                <w:rFonts w:hint="eastAsia" w:ascii="宋体" w:hAnsi="宋体"/>
                <w:sz w:val="24"/>
                <w:highlight w:val="none"/>
                <w:u w:val="single"/>
              </w:rPr>
              <w:t xml:space="preserve">   </w:t>
            </w:r>
          </w:p>
        </w:tc>
        <w:tc>
          <w:tcPr>
            <w:tcW w:w="3886" w:type="dxa"/>
            <w:vAlign w:val="bottom"/>
          </w:tcPr>
          <w:p w14:paraId="00703BE0">
            <w:pPr>
              <w:rPr>
                <w:rFonts w:hint="eastAsia" w:ascii="宋体" w:hAnsi="宋体"/>
                <w:sz w:val="24"/>
              </w:rPr>
            </w:pPr>
            <w:r>
              <w:rPr>
                <w:rFonts w:hint="eastAsia" w:ascii="宋体" w:hAnsi="宋体"/>
                <w:sz w:val="24"/>
              </w:rPr>
              <w:t>地    址：</w:t>
            </w:r>
            <w:r>
              <w:rPr>
                <w:rFonts w:hint="eastAsia" w:ascii="宋体" w:hAnsi="宋体"/>
                <w:sz w:val="24"/>
                <w:u w:val="single"/>
              </w:rPr>
              <w:t xml:space="preserve">                  </w:t>
            </w:r>
          </w:p>
        </w:tc>
      </w:tr>
      <w:tr w14:paraId="671E9F2B">
        <w:tblPrEx>
          <w:tblCellMar>
            <w:top w:w="0" w:type="dxa"/>
            <w:left w:w="108" w:type="dxa"/>
            <w:bottom w:w="0" w:type="dxa"/>
            <w:right w:w="108" w:type="dxa"/>
          </w:tblCellMar>
        </w:tblPrEx>
        <w:trPr>
          <w:trHeight w:val="579" w:hRule="atLeast"/>
        </w:trPr>
        <w:tc>
          <w:tcPr>
            <w:tcW w:w="3918" w:type="dxa"/>
            <w:vAlign w:val="bottom"/>
          </w:tcPr>
          <w:p w14:paraId="4A45A065">
            <w:pPr>
              <w:rPr>
                <w:rFonts w:hint="eastAsia" w:ascii="宋体" w:hAnsi="宋体"/>
                <w:sz w:val="24"/>
                <w:highlight w:val="none"/>
              </w:rPr>
            </w:pPr>
            <w:r>
              <w:rPr>
                <w:rFonts w:hint="eastAsia" w:ascii="宋体" w:hAnsi="宋体"/>
                <w:sz w:val="24"/>
                <w:highlight w:val="none"/>
              </w:rPr>
              <w:t>联 系 人：</w:t>
            </w:r>
            <w:r>
              <w:rPr>
                <w:rFonts w:hint="eastAsia" w:ascii="宋体" w:hAnsi="宋体"/>
                <w:sz w:val="24"/>
                <w:highlight w:val="none"/>
                <w:u w:val="single"/>
              </w:rPr>
              <w:t xml:space="preserve"> </w:t>
            </w:r>
            <w:r>
              <w:rPr>
                <w:rFonts w:hint="eastAsia" w:ascii="宋体" w:hAnsi="宋体"/>
                <w:sz w:val="24"/>
                <w:highlight w:val="none"/>
                <w:u w:val="single"/>
                <w:lang w:val="en-US" w:eastAsia="zh-CN"/>
              </w:rPr>
              <w:t>刘米珊</w:t>
            </w:r>
            <w:r>
              <w:rPr>
                <w:rFonts w:hint="eastAsia" w:ascii="宋体" w:hAnsi="宋体"/>
                <w:sz w:val="24"/>
                <w:highlight w:val="none"/>
                <w:u w:val="single"/>
              </w:rPr>
              <w:t xml:space="preserve">         </w:t>
            </w:r>
          </w:p>
        </w:tc>
        <w:tc>
          <w:tcPr>
            <w:tcW w:w="3886" w:type="dxa"/>
            <w:vAlign w:val="bottom"/>
          </w:tcPr>
          <w:p w14:paraId="15BF1026">
            <w:pPr>
              <w:rPr>
                <w:rFonts w:hint="eastAsia" w:ascii="宋体" w:hAnsi="宋体"/>
                <w:sz w:val="24"/>
              </w:rPr>
            </w:pPr>
            <w:r>
              <w:rPr>
                <w:rFonts w:hint="eastAsia" w:ascii="宋体" w:hAnsi="宋体"/>
                <w:sz w:val="24"/>
              </w:rPr>
              <w:t>联 系 人：</w:t>
            </w:r>
            <w:r>
              <w:rPr>
                <w:rFonts w:hint="eastAsia" w:ascii="宋体" w:hAnsi="宋体"/>
                <w:sz w:val="24"/>
                <w:u w:val="single"/>
              </w:rPr>
              <w:t xml:space="preserve">                  </w:t>
            </w:r>
          </w:p>
        </w:tc>
      </w:tr>
      <w:tr w14:paraId="4A4D8769">
        <w:tblPrEx>
          <w:tblCellMar>
            <w:top w:w="0" w:type="dxa"/>
            <w:left w:w="108" w:type="dxa"/>
            <w:bottom w:w="0" w:type="dxa"/>
            <w:right w:w="108" w:type="dxa"/>
          </w:tblCellMar>
        </w:tblPrEx>
        <w:trPr>
          <w:trHeight w:val="541" w:hRule="atLeast"/>
        </w:trPr>
        <w:tc>
          <w:tcPr>
            <w:tcW w:w="3918" w:type="dxa"/>
            <w:vAlign w:val="bottom"/>
          </w:tcPr>
          <w:p w14:paraId="4B401899">
            <w:pPr>
              <w:rPr>
                <w:rFonts w:hint="eastAsia" w:ascii="宋体" w:hAnsi="宋体"/>
                <w:sz w:val="24"/>
                <w:highlight w:val="none"/>
              </w:rPr>
            </w:pPr>
            <w:r>
              <w:rPr>
                <w:rFonts w:hint="eastAsia" w:ascii="宋体" w:hAnsi="宋体"/>
                <w:sz w:val="24"/>
                <w:highlight w:val="none"/>
              </w:rPr>
              <w:t>电    话：</w:t>
            </w:r>
            <w:r>
              <w:rPr>
                <w:rFonts w:hint="eastAsia" w:ascii="宋体" w:hAnsi="宋体"/>
                <w:sz w:val="24"/>
                <w:highlight w:val="none"/>
                <w:u w:val="single"/>
              </w:rPr>
              <w:t xml:space="preserve"> 1</w:t>
            </w:r>
            <w:r>
              <w:rPr>
                <w:rFonts w:hint="eastAsia" w:ascii="宋体" w:hAnsi="宋体"/>
                <w:sz w:val="24"/>
                <w:highlight w:val="none"/>
                <w:u w:val="single"/>
                <w:lang w:val="en-US" w:eastAsia="zh-CN"/>
              </w:rPr>
              <w:t>5033359730</w:t>
            </w:r>
            <w:r>
              <w:rPr>
                <w:rFonts w:hint="eastAsia" w:ascii="宋体" w:hAnsi="宋体"/>
                <w:sz w:val="24"/>
                <w:highlight w:val="none"/>
                <w:u w:val="single"/>
              </w:rPr>
              <w:t xml:space="preserve">              </w:t>
            </w:r>
          </w:p>
        </w:tc>
        <w:tc>
          <w:tcPr>
            <w:tcW w:w="3886" w:type="dxa"/>
            <w:vAlign w:val="bottom"/>
          </w:tcPr>
          <w:p w14:paraId="08E0090F">
            <w:pPr>
              <w:rPr>
                <w:rFonts w:hint="eastAsia" w:ascii="宋体" w:hAnsi="宋体"/>
                <w:sz w:val="24"/>
              </w:rPr>
            </w:pPr>
            <w:r>
              <w:rPr>
                <w:rFonts w:hint="eastAsia" w:ascii="宋体" w:hAnsi="宋体"/>
                <w:sz w:val="24"/>
              </w:rPr>
              <w:t>电    话：</w:t>
            </w:r>
            <w:r>
              <w:rPr>
                <w:rFonts w:hint="eastAsia" w:ascii="宋体" w:hAnsi="宋体"/>
                <w:sz w:val="24"/>
                <w:u w:val="single"/>
              </w:rPr>
              <w:t xml:space="preserve">                  </w:t>
            </w:r>
          </w:p>
        </w:tc>
      </w:tr>
      <w:tr w14:paraId="6D54DED8">
        <w:tblPrEx>
          <w:tblCellMar>
            <w:top w:w="0" w:type="dxa"/>
            <w:left w:w="108" w:type="dxa"/>
            <w:bottom w:w="0" w:type="dxa"/>
            <w:right w:w="108" w:type="dxa"/>
          </w:tblCellMar>
        </w:tblPrEx>
        <w:trPr>
          <w:trHeight w:val="541" w:hRule="atLeast"/>
        </w:trPr>
        <w:tc>
          <w:tcPr>
            <w:tcW w:w="7804" w:type="dxa"/>
            <w:gridSpan w:val="2"/>
            <w:vAlign w:val="bottom"/>
          </w:tcPr>
          <w:p w14:paraId="4B3265B7">
            <w:pPr>
              <w:spacing w:line="360" w:lineRule="auto"/>
              <w:rPr>
                <w:rFonts w:hint="eastAsia" w:ascii="宋体" w:hAnsi="宋体"/>
                <w:sz w:val="24"/>
              </w:rPr>
            </w:pPr>
            <w:r>
              <w:rPr>
                <w:rFonts w:hint="eastAsia" w:ascii="宋体" w:hAnsi="宋体"/>
                <w:sz w:val="24"/>
              </w:rPr>
              <w:t>投标保证金</w:t>
            </w:r>
            <w:r>
              <w:rPr>
                <w:rFonts w:ascii="宋体" w:hAnsi="宋体"/>
                <w:sz w:val="24"/>
              </w:rPr>
              <w:t>审核：</w:t>
            </w:r>
            <w:r>
              <w:rPr>
                <w:rFonts w:hint="eastAsia" w:ascii="宋体" w:hAnsi="宋体"/>
                <w:sz w:val="24"/>
              </w:rPr>
              <w:t xml:space="preserve"> 黄颢琳   </w:t>
            </w:r>
            <w:r>
              <w:rPr>
                <w:rFonts w:ascii="宋体" w:hAnsi="宋体"/>
                <w:sz w:val="24"/>
              </w:rPr>
              <w:t xml:space="preserve">      联系电话：15692086983</w:t>
            </w:r>
          </w:p>
          <w:p w14:paraId="6619F433">
            <w:pPr>
              <w:spacing w:line="360" w:lineRule="auto"/>
              <w:rPr>
                <w:rFonts w:hint="eastAsia" w:ascii="宋体" w:hAnsi="宋体"/>
                <w:sz w:val="24"/>
              </w:rPr>
            </w:pPr>
            <w:r>
              <w:rPr>
                <w:rFonts w:hint="eastAsia" w:ascii="宋体" w:hAnsi="宋体"/>
                <w:sz w:val="24"/>
              </w:rPr>
              <w:t>系统</w:t>
            </w:r>
            <w:r>
              <w:rPr>
                <w:rFonts w:ascii="宋体" w:hAnsi="宋体"/>
                <w:sz w:val="24"/>
              </w:rPr>
              <w:t>工程师：</w:t>
            </w:r>
            <w:r>
              <w:rPr>
                <w:rFonts w:hint="eastAsia" w:ascii="宋体" w:hAnsi="宋体"/>
                <w:sz w:val="24"/>
              </w:rPr>
              <w:t xml:space="preserve">     杜建峰        </w:t>
            </w:r>
            <w:r>
              <w:rPr>
                <w:rFonts w:ascii="宋体" w:hAnsi="宋体"/>
                <w:sz w:val="24"/>
              </w:rPr>
              <w:t xml:space="preserve"> 联系电话：18923838523</w:t>
            </w:r>
          </w:p>
          <w:p w14:paraId="1E9AB843">
            <w:pPr>
              <w:ind w:firstLine="1929" w:firstLineChars="804"/>
              <w:rPr>
                <w:rFonts w:hint="eastAsia" w:ascii="宋体" w:hAnsi="宋体"/>
                <w:sz w:val="24"/>
              </w:rPr>
            </w:pPr>
            <w:r>
              <w:rPr>
                <w:rFonts w:hint="eastAsia" w:ascii="宋体" w:hAnsi="宋体"/>
                <w:sz w:val="24"/>
              </w:rPr>
              <w:t xml:space="preserve">王国强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联系电话：1</w:t>
            </w:r>
            <w:r>
              <w:rPr>
                <w:rFonts w:ascii="宋体" w:hAnsi="宋体"/>
                <w:sz w:val="24"/>
              </w:rPr>
              <w:t>8734450734</w:t>
            </w:r>
          </w:p>
        </w:tc>
      </w:tr>
    </w:tbl>
    <w:p w14:paraId="305E3004">
      <w:pPr>
        <w:pStyle w:val="37"/>
        <w:numPr>
          <w:ilvl w:val="0"/>
          <w:numId w:val="22"/>
        </w:numPr>
        <w:ind w:firstLineChars="0"/>
        <w:rPr>
          <w:vanish/>
          <w:sz w:val="28"/>
          <w:szCs w:val="28"/>
        </w:rPr>
      </w:pPr>
    </w:p>
    <w:p w14:paraId="2CC6A84E">
      <w:pPr>
        <w:widowControl/>
        <w:jc w:val="left"/>
        <w:rPr>
          <w:rFonts w:hint="eastAsia" w:ascii="宋体" w:hAnsi="宋体" w:cs="宋体"/>
          <w:b/>
          <w:kern w:val="44"/>
          <w:sz w:val="32"/>
          <w:szCs w:val="32"/>
        </w:rPr>
      </w:pPr>
      <w:r>
        <w:rPr>
          <w:rFonts w:ascii="宋体" w:hAnsi="宋体" w:cs="宋体"/>
          <w:b/>
          <w:kern w:val="44"/>
          <w:sz w:val="32"/>
          <w:szCs w:val="32"/>
        </w:rPr>
        <w:br w:type="page"/>
      </w:r>
    </w:p>
    <w:p w14:paraId="4E19DEF9">
      <w:pPr>
        <w:keepNext/>
        <w:keepLines/>
        <w:numPr>
          <w:ilvl w:val="0"/>
          <w:numId w:val="1"/>
        </w:numPr>
        <w:snapToGrid w:val="0"/>
        <w:spacing w:before="340" w:after="330"/>
        <w:ind w:left="0" w:firstLine="0"/>
        <w:jc w:val="center"/>
        <w:outlineLvl w:val="0"/>
        <w:rPr>
          <w:rFonts w:hint="eastAsia" w:ascii="宋体" w:hAnsi="宋体" w:cs="宋体"/>
          <w:b/>
          <w:kern w:val="44"/>
          <w:sz w:val="32"/>
          <w:szCs w:val="32"/>
        </w:rPr>
      </w:pPr>
      <w:bookmarkStart w:id="31" w:name="_Toc24650"/>
      <w:r>
        <w:rPr>
          <w:rFonts w:hint="eastAsia" w:ascii="宋体" w:hAnsi="宋体" w:cs="宋体"/>
          <w:b/>
          <w:kern w:val="44"/>
          <w:sz w:val="32"/>
          <w:szCs w:val="32"/>
        </w:rPr>
        <w:t>技术及供货</w:t>
      </w:r>
      <w:r>
        <w:rPr>
          <w:rFonts w:ascii="宋体" w:hAnsi="宋体" w:cs="宋体"/>
          <w:b/>
          <w:kern w:val="44"/>
          <w:sz w:val="32"/>
          <w:szCs w:val="32"/>
        </w:rPr>
        <w:t>要求</w:t>
      </w:r>
      <w:bookmarkEnd w:id="31"/>
    </w:p>
    <w:p w14:paraId="70A3A28E">
      <w:pPr>
        <w:spacing w:line="360" w:lineRule="auto"/>
        <w:ind w:firstLine="480" w:firstLineChars="200"/>
        <w:rPr>
          <w:rFonts w:ascii="宋体" w:hAnsi="宋体"/>
          <w:bCs/>
          <w:color w:val="FF0000"/>
          <w:sz w:val="24"/>
          <w:highlight w:val="none"/>
        </w:rPr>
      </w:pPr>
      <w:r>
        <w:rPr>
          <w:rFonts w:hint="eastAsia" w:ascii="宋体" w:hAnsi="宋体"/>
          <w:bCs/>
          <w:color w:val="FF0000"/>
          <w:sz w:val="24"/>
          <w:highlight w:val="none"/>
        </w:rPr>
        <w:t>1、</w:t>
      </w:r>
      <w:r>
        <w:rPr>
          <w:rFonts w:ascii="宋体" w:hAnsi="宋体"/>
          <w:bCs/>
          <w:color w:val="FF0000"/>
          <w:sz w:val="24"/>
          <w:highlight w:val="none"/>
        </w:rPr>
        <w:t>100</w:t>
      </w:r>
      <w:r>
        <w:rPr>
          <w:rFonts w:hint="eastAsia" w:ascii="宋体" w:hAnsi="宋体"/>
          <w:bCs/>
          <w:color w:val="FF0000"/>
          <w:sz w:val="24"/>
          <w:highlight w:val="none"/>
          <w:lang w:val="en-US" w:eastAsia="zh-CN"/>
        </w:rPr>
        <w:t>66952</w:t>
      </w:r>
      <w:r>
        <w:rPr>
          <w:rFonts w:hint="eastAsia" w:ascii="宋体" w:hAnsi="宋体"/>
          <w:bCs/>
          <w:color w:val="FF0000"/>
          <w:sz w:val="24"/>
          <w:highlight w:val="none"/>
        </w:rPr>
        <w:t>，超声波流量计_DN</w:t>
      </w:r>
      <w:r>
        <w:rPr>
          <w:rFonts w:hint="eastAsia" w:ascii="宋体" w:hAnsi="宋体"/>
          <w:bCs/>
          <w:color w:val="FF0000"/>
          <w:sz w:val="24"/>
          <w:highlight w:val="none"/>
          <w:lang w:val="en-US" w:eastAsia="zh-CN"/>
        </w:rPr>
        <w:t>150</w:t>
      </w:r>
      <w:r>
        <w:rPr>
          <w:rFonts w:hint="eastAsia" w:ascii="宋体" w:hAnsi="宋体"/>
          <w:bCs/>
          <w:color w:val="FF0000"/>
          <w:sz w:val="24"/>
          <w:highlight w:val="none"/>
        </w:rPr>
        <w:t>_</w:t>
      </w:r>
      <w:r>
        <w:rPr>
          <w:rFonts w:hint="eastAsia" w:ascii="宋体" w:hAnsi="宋体"/>
          <w:bCs/>
          <w:color w:val="FF0000"/>
          <w:sz w:val="24"/>
          <w:highlight w:val="none"/>
          <w:lang w:val="en-US" w:eastAsia="zh-CN"/>
        </w:rPr>
        <w:t>WCB铸钢</w:t>
      </w:r>
      <w:r>
        <w:rPr>
          <w:rFonts w:hint="eastAsia" w:ascii="宋体" w:hAnsi="宋体"/>
          <w:bCs/>
          <w:color w:val="FF0000"/>
          <w:sz w:val="24"/>
          <w:highlight w:val="none"/>
        </w:rPr>
        <w:t>_</w:t>
      </w:r>
      <w:r>
        <w:rPr>
          <w:rFonts w:hint="eastAsia" w:ascii="宋体" w:hAnsi="宋体"/>
          <w:bCs/>
          <w:color w:val="FF0000"/>
          <w:sz w:val="24"/>
          <w:highlight w:val="none"/>
          <w:lang w:val="en-US" w:eastAsia="zh-CN"/>
        </w:rPr>
        <w:t>4.0</w:t>
      </w:r>
      <w:r>
        <w:rPr>
          <w:rFonts w:hint="eastAsia" w:ascii="宋体" w:hAnsi="宋体"/>
          <w:bCs/>
          <w:color w:val="FF0000"/>
          <w:sz w:val="24"/>
          <w:highlight w:val="none"/>
        </w:rPr>
        <w:t>Mpa_</w:t>
      </w:r>
      <w:r>
        <w:rPr>
          <w:rFonts w:hint="eastAsia" w:ascii="宋体" w:hAnsi="宋体"/>
          <w:bCs/>
          <w:color w:val="FF0000"/>
          <w:sz w:val="24"/>
          <w:highlight w:val="none"/>
          <w:lang w:val="en-US" w:eastAsia="zh-CN"/>
        </w:rPr>
        <w:t>0.5</w:t>
      </w:r>
      <w:r>
        <w:rPr>
          <w:rFonts w:hint="eastAsia" w:ascii="宋体" w:hAnsi="宋体"/>
          <w:bCs/>
          <w:color w:val="FF0000"/>
          <w:sz w:val="24"/>
          <w:highlight w:val="none"/>
        </w:rPr>
        <w:t>_国产_GB/T 18604_四声道，</w:t>
      </w:r>
      <w:r>
        <w:rPr>
          <w:rFonts w:hint="eastAsia" w:ascii="宋体" w:hAnsi="宋体"/>
          <w:bCs/>
          <w:color w:val="FF0000"/>
          <w:sz w:val="24"/>
          <w:highlight w:val="none"/>
          <w:lang w:val="en-US" w:eastAsia="zh-CN"/>
        </w:rPr>
        <w:t>1</w:t>
      </w:r>
      <w:r>
        <w:rPr>
          <w:rFonts w:hint="eastAsia" w:ascii="宋体" w:hAnsi="宋体"/>
          <w:bCs/>
          <w:color w:val="FF0000"/>
          <w:sz w:val="24"/>
          <w:highlight w:val="none"/>
        </w:rPr>
        <w:t>台；含集团统一协议控制器，含整流器，含检测费。</w:t>
      </w:r>
    </w:p>
    <w:p w14:paraId="6754F808">
      <w:pPr>
        <w:spacing w:line="360" w:lineRule="auto"/>
        <w:ind w:firstLine="480" w:firstLineChars="200"/>
        <w:rPr>
          <w:rFonts w:hint="eastAsia" w:ascii="宋体" w:hAnsi="宋体"/>
          <w:bCs/>
          <w:color w:val="FF0000"/>
          <w:sz w:val="24"/>
          <w:highlight w:val="none"/>
        </w:rPr>
      </w:pPr>
      <w:r>
        <w:rPr>
          <w:rFonts w:hint="eastAsia" w:ascii="宋体" w:hAnsi="宋体"/>
          <w:bCs/>
          <w:color w:val="FF0000"/>
          <w:sz w:val="24"/>
          <w:highlight w:val="none"/>
        </w:rPr>
        <w:t>2、参数按集团技术规格书。</w:t>
      </w:r>
    </w:p>
    <w:p w14:paraId="5E6DF871">
      <w:pPr>
        <w:widowControl/>
        <w:jc w:val="left"/>
        <w:rPr>
          <w:rFonts w:hint="eastAsia" w:ascii="宋体" w:hAnsi="宋体" w:cs="宋体"/>
          <w:bCs/>
          <w:kern w:val="0"/>
          <w:sz w:val="24"/>
        </w:rPr>
      </w:pPr>
      <w:r>
        <w:rPr>
          <w:rFonts w:ascii="宋体" w:hAnsi="宋体" w:cs="宋体"/>
          <w:bCs/>
          <w:kern w:val="0"/>
          <w:sz w:val="24"/>
        </w:rPr>
        <w:br w:type="page"/>
      </w:r>
    </w:p>
    <w:p w14:paraId="4930AE14">
      <w:pPr>
        <w:keepNext/>
        <w:keepLines/>
        <w:numPr>
          <w:ilvl w:val="0"/>
          <w:numId w:val="1"/>
        </w:numPr>
        <w:snapToGrid w:val="0"/>
        <w:spacing w:before="340" w:after="330"/>
        <w:ind w:left="0" w:firstLine="0"/>
        <w:jc w:val="center"/>
        <w:outlineLvl w:val="0"/>
        <w:rPr>
          <w:rFonts w:hint="eastAsia" w:ascii="宋体" w:hAnsi="宋体" w:cs="宋体"/>
          <w:b/>
          <w:kern w:val="44"/>
          <w:sz w:val="32"/>
          <w:szCs w:val="32"/>
        </w:rPr>
      </w:pPr>
      <w:bookmarkStart w:id="32" w:name="_Toc24392"/>
      <w:r>
        <w:rPr>
          <w:rFonts w:hint="eastAsia" w:ascii="宋体" w:hAnsi="宋体" w:cs="宋体"/>
          <w:b/>
          <w:kern w:val="44"/>
          <w:sz w:val="32"/>
          <w:szCs w:val="32"/>
        </w:rPr>
        <w:t>采购文件附件</w:t>
      </w:r>
      <w:bookmarkEnd w:id="32"/>
    </w:p>
    <w:p w14:paraId="2C408B13">
      <w:pPr>
        <w:spacing w:line="360" w:lineRule="auto"/>
        <w:jc w:val="left"/>
        <w:rPr>
          <w:rFonts w:hint="eastAsia" w:ascii="宋体" w:hAnsi="宋体"/>
          <w:sz w:val="24"/>
        </w:rPr>
      </w:pPr>
    </w:p>
    <w:p w14:paraId="000E7E1C">
      <w:pPr>
        <w:spacing w:line="360" w:lineRule="auto"/>
        <w:ind w:firstLine="141" w:firstLineChars="59"/>
        <w:rPr>
          <w:rFonts w:hint="eastAsia" w:ascii="宋体" w:hAnsi="宋体"/>
          <w:color w:val="FF0000"/>
          <w:sz w:val="24"/>
        </w:rPr>
      </w:pPr>
      <w:r>
        <w:rPr>
          <w:rFonts w:hint="eastAsia" w:ascii="宋体" w:hAnsi="宋体"/>
          <w:sz w:val="24"/>
        </w:rPr>
        <w:t>附件1：合同模板</w:t>
      </w:r>
      <w:r>
        <w:rPr>
          <w:rFonts w:hint="eastAsia" w:ascii="宋体" w:hAnsi="宋体"/>
          <w:color w:val="FF0000"/>
          <w:sz w:val="24"/>
        </w:rPr>
        <w:t>（</w:t>
      </w:r>
      <w:r>
        <w:rPr>
          <w:rFonts w:ascii="宋体" w:hAnsi="宋体"/>
          <w:color w:val="FF0000"/>
          <w:sz w:val="24"/>
        </w:rPr>
        <w:t>应</w:t>
      </w:r>
      <w:r>
        <w:rPr>
          <w:rFonts w:hint="eastAsia" w:ascii="宋体" w:hAnsi="宋体"/>
          <w:color w:val="FF0000"/>
          <w:sz w:val="24"/>
        </w:rPr>
        <w:t>优先使用集团模板合同）</w:t>
      </w:r>
    </w:p>
    <w:p w14:paraId="0F7F3EBD">
      <w:pPr>
        <w:spacing w:line="360" w:lineRule="auto"/>
        <w:ind w:firstLine="141" w:firstLineChars="59"/>
        <w:rPr>
          <w:rFonts w:hint="eastAsia" w:ascii="宋体" w:hAnsi="宋体"/>
          <w:sz w:val="24"/>
        </w:rPr>
      </w:pPr>
      <w:r>
        <w:rPr>
          <w:rFonts w:hint="eastAsia" w:ascii="宋体" w:hAnsi="宋体"/>
          <w:sz w:val="24"/>
        </w:rPr>
        <w:t>附件2：报价表（含采购数量及规格型号）（</w:t>
      </w:r>
      <w:r>
        <w:rPr>
          <w:rFonts w:hint="eastAsia" w:ascii="宋体" w:hAnsi="宋体"/>
          <w:color w:val="FF0000"/>
          <w:sz w:val="24"/>
        </w:rPr>
        <w:t>须提供可编辑电子版及加盖公章扫描件版</w:t>
      </w:r>
      <w:r>
        <w:rPr>
          <w:rFonts w:hint="eastAsia" w:ascii="宋体" w:hAnsi="宋体"/>
          <w:sz w:val="24"/>
        </w:rPr>
        <w:t>）</w:t>
      </w:r>
    </w:p>
    <w:p w14:paraId="389534D6">
      <w:pPr>
        <w:spacing w:line="360" w:lineRule="auto"/>
        <w:ind w:firstLine="141" w:firstLineChars="59"/>
        <w:rPr>
          <w:rFonts w:hint="eastAsia" w:ascii="宋体" w:hAnsi="宋体"/>
          <w:sz w:val="24"/>
        </w:rPr>
      </w:pPr>
      <w:r>
        <w:rPr>
          <w:rFonts w:hint="eastAsia" w:ascii="宋体" w:hAnsi="宋体"/>
          <w:sz w:val="24"/>
        </w:rPr>
        <w:t>附件3：技术规格书或工艺流程图纸（</w:t>
      </w:r>
      <w:r>
        <w:rPr>
          <w:rFonts w:hint="eastAsia" w:ascii="宋体" w:hAnsi="宋体"/>
          <w:color w:val="FF0000"/>
          <w:sz w:val="24"/>
        </w:rPr>
        <w:t>如有</w:t>
      </w:r>
      <w:r>
        <w:rPr>
          <w:rFonts w:hint="eastAsia" w:ascii="宋体" w:hAnsi="宋体"/>
          <w:sz w:val="24"/>
        </w:rPr>
        <w:t>）</w:t>
      </w:r>
    </w:p>
    <w:p w14:paraId="1BD91739">
      <w:pPr>
        <w:spacing w:line="360" w:lineRule="auto"/>
        <w:ind w:firstLine="141" w:firstLineChars="59"/>
        <w:rPr>
          <w:rFonts w:hint="eastAsia" w:ascii="宋体" w:hAnsi="宋体"/>
          <w:sz w:val="24"/>
        </w:rPr>
      </w:pPr>
      <w:r>
        <w:rPr>
          <w:rFonts w:hint="eastAsia" w:ascii="宋体" w:hAnsi="宋体"/>
          <w:sz w:val="24"/>
        </w:rPr>
        <w:t>附件</w:t>
      </w:r>
      <w:r>
        <w:rPr>
          <w:rFonts w:ascii="宋体" w:hAnsi="宋体"/>
          <w:sz w:val="24"/>
        </w:rPr>
        <w:t>7</w:t>
      </w:r>
      <w:r>
        <w:rPr>
          <w:rFonts w:hint="eastAsia" w:ascii="宋体" w:hAnsi="宋体"/>
          <w:sz w:val="24"/>
        </w:rPr>
        <w:t>：中国燃气供应商奖惩管理办法</w:t>
      </w:r>
    </w:p>
    <w:p w14:paraId="6EFFB572">
      <w:pPr>
        <w:spacing w:line="360" w:lineRule="auto"/>
        <w:ind w:firstLine="141" w:firstLineChars="59"/>
        <w:rPr>
          <w:rFonts w:hint="eastAsia" w:ascii="宋体" w:hAnsi="宋体"/>
          <w:sz w:val="24"/>
        </w:rPr>
      </w:pPr>
      <w:r>
        <w:rPr>
          <w:rFonts w:hint="eastAsia" w:ascii="宋体" w:hAnsi="宋体"/>
          <w:sz w:val="24"/>
        </w:rPr>
        <w:t>附件8：中国燃气电子招标交易平台收费管理办法1.2</w:t>
      </w:r>
    </w:p>
    <w:p w14:paraId="4D254718">
      <w:pPr>
        <w:spacing w:line="360" w:lineRule="auto"/>
        <w:ind w:firstLine="141" w:firstLineChars="59"/>
        <w:rPr>
          <w:rFonts w:hint="eastAsia" w:ascii="宋体" w:hAnsi="宋体"/>
          <w:sz w:val="24"/>
        </w:rPr>
      </w:pPr>
      <w:r>
        <w:rPr>
          <w:rFonts w:hint="eastAsia" w:ascii="宋体" w:hAnsi="宋体"/>
          <w:sz w:val="24"/>
        </w:rPr>
        <w:t>注：上述文件上传不分先后。</w:t>
      </w:r>
      <w:bookmarkStart w:id="33" w:name="_Hlk58248783"/>
    </w:p>
    <w:p w14:paraId="173D3DA9">
      <w:pPr>
        <w:snapToGrid w:val="0"/>
        <w:spacing w:line="360" w:lineRule="auto"/>
        <w:jc w:val="left"/>
        <w:rPr>
          <w:rFonts w:hint="eastAsia" w:ascii="宋体" w:hAnsi="宋体"/>
          <w:sz w:val="24"/>
        </w:rPr>
      </w:pPr>
    </w:p>
    <w:p w14:paraId="4693E684">
      <w:pPr>
        <w:snapToGrid w:val="0"/>
        <w:spacing w:line="360" w:lineRule="auto"/>
        <w:jc w:val="left"/>
        <w:rPr>
          <w:rFonts w:hint="eastAsia" w:ascii="宋体" w:hAnsi="宋体"/>
          <w:sz w:val="24"/>
        </w:rPr>
      </w:pPr>
    </w:p>
    <w:p w14:paraId="5E95B218">
      <w:pPr>
        <w:snapToGrid w:val="0"/>
        <w:spacing w:line="360" w:lineRule="auto"/>
        <w:jc w:val="left"/>
        <w:rPr>
          <w:rFonts w:hint="eastAsia" w:ascii="宋体" w:hAnsi="宋体"/>
          <w:sz w:val="24"/>
        </w:rPr>
      </w:pPr>
    </w:p>
    <w:p w14:paraId="1106E1F4">
      <w:pPr>
        <w:snapToGrid w:val="0"/>
        <w:spacing w:line="360" w:lineRule="auto"/>
        <w:jc w:val="left"/>
        <w:rPr>
          <w:rFonts w:hint="eastAsia" w:ascii="宋体" w:hAnsi="宋体"/>
          <w:sz w:val="24"/>
        </w:rPr>
      </w:pPr>
    </w:p>
    <w:p w14:paraId="673AC3FF">
      <w:pPr>
        <w:snapToGrid w:val="0"/>
        <w:spacing w:line="360" w:lineRule="auto"/>
        <w:jc w:val="left"/>
        <w:rPr>
          <w:rFonts w:hint="eastAsia" w:ascii="宋体" w:hAnsi="宋体"/>
          <w:sz w:val="24"/>
        </w:rPr>
      </w:pPr>
    </w:p>
    <w:p w14:paraId="562352DA">
      <w:pPr>
        <w:snapToGrid w:val="0"/>
        <w:spacing w:line="360" w:lineRule="auto"/>
        <w:jc w:val="left"/>
        <w:rPr>
          <w:rFonts w:hint="eastAsia" w:ascii="宋体" w:hAnsi="宋体"/>
          <w:sz w:val="24"/>
        </w:rPr>
        <w:sectPr>
          <w:pgSz w:w="11906" w:h="16838"/>
          <w:pgMar w:top="1440" w:right="1800" w:bottom="1440" w:left="1800" w:header="851" w:footer="992" w:gutter="0"/>
          <w:cols w:space="720" w:num="1"/>
          <w:docGrid w:type="lines" w:linePitch="312" w:charSpace="0"/>
        </w:sectPr>
      </w:pPr>
    </w:p>
    <w:bookmarkEnd w:id="33"/>
    <w:p w14:paraId="792BA57B">
      <w:pPr>
        <w:keepNext/>
        <w:keepLines/>
        <w:numPr>
          <w:ilvl w:val="0"/>
          <w:numId w:val="1"/>
        </w:numPr>
        <w:snapToGrid w:val="0"/>
        <w:spacing w:before="340" w:after="330"/>
        <w:ind w:left="0" w:firstLine="0"/>
        <w:jc w:val="center"/>
        <w:outlineLvl w:val="0"/>
        <w:rPr>
          <w:rFonts w:hint="eastAsia" w:ascii="宋体" w:hAnsi="宋体" w:cs="宋体"/>
          <w:b/>
          <w:kern w:val="44"/>
          <w:sz w:val="32"/>
          <w:szCs w:val="32"/>
        </w:rPr>
      </w:pPr>
      <w:bookmarkStart w:id="34" w:name="_Toc21628"/>
      <w:r>
        <w:rPr>
          <w:rFonts w:hint="eastAsia" w:ascii="宋体" w:hAnsi="宋体" w:cs="宋体"/>
          <w:b/>
          <w:kern w:val="44"/>
          <w:sz w:val="32"/>
          <w:szCs w:val="32"/>
        </w:rPr>
        <w:t>响应文件格式</w:t>
      </w:r>
      <w:bookmarkEnd w:id="34"/>
    </w:p>
    <w:p w14:paraId="30DBF3EE"/>
    <w:p w14:paraId="413F6901">
      <w:pPr>
        <w:pStyle w:val="37"/>
        <w:numPr>
          <w:ilvl w:val="0"/>
          <w:numId w:val="23"/>
        </w:numPr>
        <w:spacing w:line="360" w:lineRule="auto"/>
        <w:ind w:firstLineChars="0"/>
        <w:rPr>
          <w:rFonts w:hint="eastAsia" w:ascii="宋体" w:hAnsi="宋体"/>
          <w:sz w:val="24"/>
        </w:rPr>
      </w:pPr>
      <w:r>
        <w:rPr>
          <w:rFonts w:ascii="宋体" w:hAnsi="宋体"/>
          <w:sz w:val="24"/>
        </w:rPr>
        <w:t>报价</w:t>
      </w:r>
      <w:r>
        <w:rPr>
          <w:rFonts w:hint="eastAsia" w:ascii="宋体" w:hAnsi="宋体"/>
          <w:sz w:val="24"/>
        </w:rPr>
        <w:t>文件（</w:t>
      </w:r>
      <w:r>
        <w:rPr>
          <w:rFonts w:ascii="宋体" w:hAnsi="宋体"/>
          <w:sz w:val="24"/>
        </w:rPr>
        <w:t>根据</w:t>
      </w:r>
      <w:r>
        <w:rPr>
          <w:rFonts w:hint="eastAsia" w:ascii="宋体" w:hAnsi="宋体"/>
          <w:sz w:val="24"/>
        </w:rPr>
        <w:t>采购人提供的报价文件模板编制）</w:t>
      </w:r>
    </w:p>
    <w:p w14:paraId="33E9706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宋体_GB2312">
    <w:altName w:val="宋体"/>
    <w:panose1 w:val="00000000000000000000"/>
    <w:charset w:val="86"/>
    <w:family w:val="roman"/>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华文细黑">
    <w:panose1 w:val="02010600040101010101"/>
    <w:charset w:val="86"/>
    <w:family w:val="auto"/>
    <w:pitch w:val="default"/>
    <w:sig w:usb0="00000287" w:usb1="080F0000" w:usb2="00000000" w:usb3="00000000" w:csb0="0004009F" w:csb1="DFD7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2E5AB">
    <w:pPr>
      <w:pStyle w:val="8"/>
      <w:jc w:val="center"/>
      <w:rPr>
        <w:rFonts w:ascii="Times New Roman" w:hAnsi="Times New Roman"/>
      </w:rPr>
    </w:pPr>
    <w:r>
      <w:rPr>
        <w:rFonts w:ascii="Times New Roman" w:hAnsi="Times New Roman"/>
        <w:lang w:val="zh-CN"/>
      </w:rPr>
      <w:t xml:space="preserve"> </w:t>
    </w:r>
    <w:r>
      <w:rPr>
        <w:rFonts w:ascii="Times New Roman" w:hAnsi="Times New Roman"/>
        <w:b/>
        <w:bCs/>
        <w:sz w:val="24"/>
        <w:szCs w:val="24"/>
      </w:rPr>
      <w:fldChar w:fldCharType="begin"/>
    </w:r>
    <w:r>
      <w:rPr>
        <w:rFonts w:ascii="Times New Roman" w:hAnsi="Times New Roman"/>
        <w:b/>
        <w:bCs/>
      </w:rPr>
      <w:instrText xml:space="preserve">PAGE</w:instrText>
    </w:r>
    <w:r>
      <w:rPr>
        <w:rFonts w:ascii="Times New Roman" w:hAnsi="Times New Roman"/>
        <w:b/>
        <w:bCs/>
        <w:sz w:val="24"/>
        <w:szCs w:val="24"/>
      </w:rPr>
      <w:fldChar w:fldCharType="separate"/>
    </w:r>
    <w:r>
      <w:rPr>
        <w:rFonts w:ascii="Times New Roman" w:hAnsi="Times New Roman"/>
        <w:b/>
        <w:bCs/>
      </w:rPr>
      <w:t>6</w:t>
    </w:r>
    <w:r>
      <w:rPr>
        <w:rFonts w:ascii="Times New Roman" w:hAnsi="Times New Roman"/>
        <w:b/>
        <w:bCs/>
        <w:sz w:val="24"/>
        <w:szCs w:val="24"/>
      </w:rPr>
      <w:fldChar w:fldCharType="end"/>
    </w:r>
    <w:r>
      <w:rPr>
        <w:rFonts w:ascii="Times New Roman" w:hAnsi="Times New Roman"/>
        <w:lang w:val="zh-CN"/>
      </w:rPr>
      <w:t xml:space="preserve"> / </w:t>
    </w:r>
    <w:r>
      <w:rPr>
        <w:rFonts w:ascii="Times New Roman" w:hAnsi="Times New Roman"/>
        <w:b/>
        <w:bCs/>
        <w:sz w:val="24"/>
        <w:szCs w:val="24"/>
      </w:rPr>
      <w:fldChar w:fldCharType="begin"/>
    </w:r>
    <w:r>
      <w:rPr>
        <w:rFonts w:ascii="Times New Roman" w:hAnsi="Times New Roman"/>
        <w:b/>
        <w:bCs/>
      </w:rPr>
      <w:instrText xml:space="preserve">NUMPAGES</w:instrText>
    </w:r>
    <w:r>
      <w:rPr>
        <w:rFonts w:ascii="Times New Roman" w:hAnsi="Times New Roman"/>
        <w:b/>
        <w:bCs/>
        <w:sz w:val="24"/>
        <w:szCs w:val="24"/>
      </w:rPr>
      <w:fldChar w:fldCharType="separate"/>
    </w:r>
    <w:r>
      <w:rPr>
        <w:rFonts w:ascii="Times New Roman" w:hAnsi="Times New Roman"/>
        <w:b/>
        <w:bCs/>
      </w:rPr>
      <w:t>14</w:t>
    </w:r>
    <w:r>
      <w:rPr>
        <w:rFonts w:ascii="Times New Roman" w:hAnsi="Times New Roman"/>
        <w:b/>
        <w:bCs/>
        <w:sz w:val="24"/>
        <w:szCs w:val="24"/>
      </w:rPr>
      <w:fldChar w:fldCharType="end"/>
    </w:r>
  </w:p>
  <w:p w14:paraId="18D4A08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84ED7">
    <w:pPr>
      <w:pStyle w:val="9"/>
      <w:ind w:right="420"/>
      <w:jc w:val="both"/>
      <w:rPr>
        <w:rFonts w:hint="eastAsia" w:ascii="黑体" w:hAnsi="黑体" w:eastAsia="黑体"/>
        <w:sz w:val="15"/>
        <w:szCs w:val="15"/>
      </w:rPr>
    </w:pPr>
    <w:r>
      <w:rPr>
        <w:rFonts w:hint="eastAsia" w:ascii="黑体" w:hAnsi="黑体" w:eastAsia="黑体"/>
        <w:sz w:val="21"/>
        <w:szCs w:val="21"/>
      </w:rPr>
      <w:drawing>
        <wp:inline distT="0" distB="0" distL="0" distR="0">
          <wp:extent cx="1316355" cy="37401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9471" cy="451553"/>
                  </a:xfrm>
                  <a:prstGeom prst="rect">
                    <a:avLst/>
                  </a:prstGeom>
                </pic:spPr>
              </pic:pic>
            </a:graphicData>
          </a:graphic>
        </wp:inline>
      </w:drawing>
    </w:r>
    <w:r>
      <w:rPr>
        <w:rFonts w:hint="eastAsia" w:ascii="黑体" w:hAnsi="黑体" w:eastAsia="黑体"/>
      </w:rPr>
      <w:t>中燃集团货物类（除钢管类、LNG设备及调压设备）项目竞价采购文件V</w:t>
    </w:r>
    <w:r>
      <w:rPr>
        <w:rFonts w:ascii="黑体" w:hAnsi="黑体" w:eastAsia="黑体"/>
      </w:rPr>
      <w:t>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30461"/>
    <w:multiLevelType w:val="multilevel"/>
    <w:tmpl w:val="0D930461"/>
    <w:lvl w:ilvl="0" w:tentative="0">
      <w:start w:val="1"/>
      <w:numFmt w:val="japaneseCounting"/>
      <w:lvlText w:val="%1、"/>
      <w:lvlJc w:val="left"/>
      <w:pPr>
        <w:ind w:left="1620" w:hanging="720"/>
      </w:pPr>
      <w:rPr>
        <w:rFonts w:hint="default"/>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
    <w:nsid w:val="0FD91B4B"/>
    <w:multiLevelType w:val="multilevel"/>
    <w:tmpl w:val="0FD91B4B"/>
    <w:lvl w:ilvl="0" w:tentative="0">
      <w:start w:val="1"/>
      <w:numFmt w:val="decimal"/>
      <w:lvlText w:val="%1、"/>
      <w:lvlJc w:val="left"/>
      <w:pPr>
        <w:ind w:left="1128" w:hanging="420"/>
      </w:pPr>
      <w:rPr>
        <w:rFonts w:ascii="宋体" w:hAnsi="宋体" w:eastAsia="宋体" w:cs="宋体"/>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2">
    <w:nsid w:val="159531C6"/>
    <w:multiLevelType w:val="multilevel"/>
    <w:tmpl w:val="159531C6"/>
    <w:lvl w:ilvl="0" w:tentative="0">
      <w:start w:val="1"/>
      <w:numFmt w:val="chineseCountingThousand"/>
      <w:lvlText w:val="(%1)"/>
      <w:lvlJc w:val="left"/>
      <w:pPr>
        <w:ind w:left="1320" w:hanging="420"/>
      </w:pPr>
      <w:rPr>
        <w:rFonts w:hint="default"/>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3">
    <w:nsid w:val="18F76DFD"/>
    <w:multiLevelType w:val="multilevel"/>
    <w:tmpl w:val="18F76DFD"/>
    <w:lvl w:ilvl="0" w:tentative="0">
      <w:start w:val="1"/>
      <w:numFmt w:val="chineseCountingThousand"/>
      <w:lvlText w:val="(%1)"/>
      <w:lvlJc w:val="left"/>
      <w:pPr>
        <w:ind w:left="900" w:hanging="420"/>
      </w:pPr>
    </w:lvl>
    <w:lvl w:ilvl="1" w:tentative="0">
      <w:start w:val="1"/>
      <w:numFmt w:val="decimal"/>
      <w:isLgl/>
      <w:lvlText w:val="%1.%2"/>
      <w:lvlJc w:val="left"/>
      <w:pPr>
        <w:ind w:left="855" w:hanging="375"/>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4">
    <w:nsid w:val="1B3F69F1"/>
    <w:multiLevelType w:val="multilevel"/>
    <w:tmpl w:val="1B3F69F1"/>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
    <w:nsid w:val="33DA764A"/>
    <w:multiLevelType w:val="multilevel"/>
    <w:tmpl w:val="33DA764A"/>
    <w:lvl w:ilvl="0" w:tentative="0">
      <w:start w:val="1"/>
      <w:numFmt w:val="chineseCountingThousand"/>
      <w:lvlText w:val="(%1)"/>
      <w:lvlJc w:val="left"/>
      <w:pPr>
        <w:ind w:left="900" w:hanging="420"/>
      </w:pPr>
    </w:lvl>
    <w:lvl w:ilvl="1" w:tentative="0">
      <w:start w:val="1"/>
      <w:numFmt w:val="decimal"/>
      <w:lvlText w:val="%2、"/>
      <w:lvlJc w:val="left"/>
      <w:pPr>
        <w:ind w:left="1290" w:hanging="720"/>
      </w:pPr>
      <w:rPr>
        <w:rFonts w:hint="default" w:ascii="宋体" w:hAnsi="宋体" w:eastAsia="宋体" w:cs="宋体"/>
      </w:rPr>
    </w:lvl>
    <w:lvl w:ilvl="2" w:tentative="0">
      <w:start w:val="1"/>
      <w:numFmt w:val="decimal"/>
      <w:isLgl/>
      <w:lvlText w:val="%1.%2.%3"/>
      <w:lvlJc w:val="left"/>
      <w:pPr>
        <w:ind w:left="1380" w:hanging="720"/>
      </w:pPr>
      <w:rPr>
        <w:rFonts w:hint="default"/>
      </w:rPr>
    </w:lvl>
    <w:lvl w:ilvl="3" w:tentative="0">
      <w:start w:val="1"/>
      <w:numFmt w:val="decimal"/>
      <w:isLgl/>
      <w:lvlText w:val="%1.%2.%3.%4"/>
      <w:lvlJc w:val="left"/>
      <w:pPr>
        <w:ind w:left="1830" w:hanging="1080"/>
      </w:pPr>
      <w:rPr>
        <w:rFonts w:hint="default"/>
      </w:rPr>
    </w:lvl>
    <w:lvl w:ilvl="4" w:tentative="0">
      <w:start w:val="1"/>
      <w:numFmt w:val="decimal"/>
      <w:isLgl/>
      <w:lvlText w:val="%1.%2.%3.%4.%5"/>
      <w:lvlJc w:val="left"/>
      <w:pPr>
        <w:ind w:left="2280" w:hanging="1440"/>
      </w:pPr>
      <w:rPr>
        <w:rFonts w:hint="default"/>
      </w:rPr>
    </w:lvl>
    <w:lvl w:ilvl="5" w:tentative="0">
      <w:start w:val="1"/>
      <w:numFmt w:val="decimal"/>
      <w:isLgl/>
      <w:lvlText w:val="%1.%2.%3.%4.%5.%6"/>
      <w:lvlJc w:val="left"/>
      <w:pPr>
        <w:ind w:left="2730" w:hanging="1800"/>
      </w:pPr>
      <w:rPr>
        <w:rFonts w:hint="default"/>
      </w:rPr>
    </w:lvl>
    <w:lvl w:ilvl="6" w:tentative="0">
      <w:start w:val="1"/>
      <w:numFmt w:val="decimal"/>
      <w:isLgl/>
      <w:lvlText w:val="%1.%2.%3.%4.%5.%6.%7"/>
      <w:lvlJc w:val="left"/>
      <w:pPr>
        <w:ind w:left="3180" w:hanging="2160"/>
      </w:pPr>
      <w:rPr>
        <w:rFonts w:hint="default"/>
      </w:rPr>
    </w:lvl>
    <w:lvl w:ilvl="7" w:tentative="0">
      <w:start w:val="1"/>
      <w:numFmt w:val="decimal"/>
      <w:isLgl/>
      <w:lvlText w:val="%1.%2.%3.%4.%5.%6.%7.%8"/>
      <w:lvlJc w:val="left"/>
      <w:pPr>
        <w:ind w:left="3270" w:hanging="2160"/>
      </w:pPr>
      <w:rPr>
        <w:rFonts w:hint="default"/>
      </w:rPr>
    </w:lvl>
    <w:lvl w:ilvl="8" w:tentative="0">
      <w:start w:val="1"/>
      <w:numFmt w:val="decimal"/>
      <w:isLgl/>
      <w:lvlText w:val="%1.%2.%3.%4.%5.%6.%7.%8.%9"/>
      <w:lvlJc w:val="left"/>
      <w:pPr>
        <w:ind w:left="3720" w:hanging="2520"/>
      </w:pPr>
      <w:rPr>
        <w:rFonts w:hint="default"/>
      </w:rPr>
    </w:lvl>
  </w:abstractNum>
  <w:abstractNum w:abstractNumId="6">
    <w:nsid w:val="36F466DC"/>
    <w:multiLevelType w:val="multilevel"/>
    <w:tmpl w:val="36F466DC"/>
    <w:lvl w:ilvl="0" w:tentative="0">
      <w:start w:val="1"/>
      <w:numFmt w:val="decimal"/>
      <w:lvlText w:val="（%1）"/>
      <w:lvlJc w:val="left"/>
      <w:pPr>
        <w:ind w:left="1380" w:hanging="420"/>
      </w:pPr>
      <w:rPr>
        <w:rFonts w:hint="default"/>
        <w:lang w:val="en-US"/>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7">
    <w:nsid w:val="37920BEA"/>
    <w:multiLevelType w:val="multilevel"/>
    <w:tmpl w:val="37920BEA"/>
    <w:lvl w:ilvl="0" w:tentative="0">
      <w:start w:val="1"/>
      <w:numFmt w:val="decimal"/>
      <w:lvlText w:val="%1、"/>
      <w:lvlJc w:val="left"/>
      <w:pPr>
        <w:ind w:left="1320" w:hanging="420"/>
      </w:pPr>
      <w:rPr>
        <w:rFonts w:hint="default" w:ascii="宋体" w:hAnsi="宋体" w:eastAsia="宋体" w:cs="宋体"/>
        <w:lang w:val="en-U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8">
    <w:nsid w:val="382F1714"/>
    <w:multiLevelType w:val="multilevel"/>
    <w:tmpl w:val="382F1714"/>
    <w:lvl w:ilvl="0" w:tentative="0">
      <w:start w:val="1"/>
      <w:numFmt w:val="chineseCountingThousand"/>
      <w:lvlText w:val="(%1)"/>
      <w:lvlJc w:val="left"/>
      <w:pPr>
        <w:ind w:left="900" w:hanging="420"/>
      </w:pPr>
    </w:lvl>
    <w:lvl w:ilvl="1" w:tentative="0">
      <w:start w:val="1"/>
      <w:numFmt w:val="decimal"/>
      <w:isLgl/>
      <w:lvlText w:val="%1.%2"/>
      <w:lvlJc w:val="left"/>
      <w:pPr>
        <w:ind w:left="855" w:hanging="375"/>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9">
    <w:nsid w:val="38636985"/>
    <w:multiLevelType w:val="multilevel"/>
    <w:tmpl w:val="38636985"/>
    <w:lvl w:ilvl="0" w:tentative="0">
      <w:start w:val="1"/>
      <w:numFmt w:val="decimal"/>
      <w:lvlText w:val="%1、"/>
      <w:lvlJc w:val="left"/>
      <w:pPr>
        <w:ind w:left="562" w:hanging="420"/>
      </w:pPr>
      <w:rPr>
        <w:rFonts w:ascii="宋体" w:hAnsi="宋体" w:eastAsia="宋体" w:cs="宋体"/>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0">
    <w:nsid w:val="493829EB"/>
    <w:multiLevelType w:val="multilevel"/>
    <w:tmpl w:val="493829EB"/>
    <w:lvl w:ilvl="0" w:tentative="0">
      <w:start w:val="5"/>
      <w:numFmt w:val="decimal"/>
      <w:lvlText w:val="%1"/>
      <w:lvlJc w:val="left"/>
      <w:pPr>
        <w:ind w:left="375" w:hanging="375"/>
      </w:pPr>
      <w:rPr>
        <w:rFonts w:hint="default"/>
      </w:rPr>
    </w:lvl>
    <w:lvl w:ilvl="1" w:tentative="0">
      <w:start w:val="1"/>
      <w:numFmt w:val="decimal"/>
      <w:lvlText w:val="%1.%2"/>
      <w:lvlJc w:val="left"/>
      <w:pPr>
        <w:ind w:left="1075" w:hanging="375"/>
      </w:pPr>
      <w:rPr>
        <w:rFonts w:hint="default"/>
      </w:rPr>
    </w:lvl>
    <w:lvl w:ilvl="2" w:tentative="0">
      <w:start w:val="1"/>
      <w:numFmt w:val="decimal"/>
      <w:lvlText w:val="%1.%2.%3"/>
      <w:lvlJc w:val="left"/>
      <w:pPr>
        <w:ind w:left="2120" w:hanging="720"/>
      </w:pPr>
      <w:rPr>
        <w:rFonts w:hint="default"/>
      </w:rPr>
    </w:lvl>
    <w:lvl w:ilvl="3" w:tentative="0">
      <w:start w:val="1"/>
      <w:numFmt w:val="decimal"/>
      <w:lvlText w:val="%1.%2.%3.%4"/>
      <w:lvlJc w:val="left"/>
      <w:pPr>
        <w:ind w:left="3180" w:hanging="1080"/>
      </w:pPr>
      <w:rPr>
        <w:rFonts w:hint="default"/>
      </w:rPr>
    </w:lvl>
    <w:lvl w:ilvl="4" w:tentative="0">
      <w:start w:val="1"/>
      <w:numFmt w:val="decimal"/>
      <w:lvlText w:val="%1.%2.%3.%4.%5"/>
      <w:lvlJc w:val="left"/>
      <w:pPr>
        <w:ind w:left="3880" w:hanging="1080"/>
      </w:pPr>
      <w:rPr>
        <w:rFonts w:hint="default"/>
      </w:rPr>
    </w:lvl>
    <w:lvl w:ilvl="5" w:tentative="0">
      <w:start w:val="1"/>
      <w:numFmt w:val="decimal"/>
      <w:lvlText w:val="%1.%2.%3.%4.%5.%6"/>
      <w:lvlJc w:val="left"/>
      <w:pPr>
        <w:ind w:left="4940" w:hanging="1440"/>
      </w:pPr>
      <w:rPr>
        <w:rFonts w:hint="default"/>
      </w:rPr>
    </w:lvl>
    <w:lvl w:ilvl="6" w:tentative="0">
      <w:start w:val="1"/>
      <w:numFmt w:val="decimal"/>
      <w:lvlText w:val="%1.%2.%3.%4.%5.%6.%7"/>
      <w:lvlJc w:val="left"/>
      <w:pPr>
        <w:ind w:left="5640" w:hanging="1440"/>
      </w:pPr>
      <w:rPr>
        <w:rFonts w:hint="default"/>
      </w:rPr>
    </w:lvl>
    <w:lvl w:ilvl="7" w:tentative="0">
      <w:start w:val="1"/>
      <w:numFmt w:val="decimal"/>
      <w:lvlText w:val="%1.%2.%3.%4.%5.%6.%7.%8"/>
      <w:lvlJc w:val="left"/>
      <w:pPr>
        <w:ind w:left="6700" w:hanging="1800"/>
      </w:pPr>
      <w:rPr>
        <w:rFonts w:hint="default"/>
      </w:rPr>
    </w:lvl>
    <w:lvl w:ilvl="8" w:tentative="0">
      <w:start w:val="1"/>
      <w:numFmt w:val="decimal"/>
      <w:lvlText w:val="%1.%2.%3.%4.%5.%6.%7.%8.%9"/>
      <w:lvlJc w:val="left"/>
      <w:pPr>
        <w:ind w:left="7760" w:hanging="2160"/>
      </w:pPr>
      <w:rPr>
        <w:rFonts w:hint="default"/>
      </w:rPr>
    </w:lvl>
  </w:abstractNum>
  <w:abstractNum w:abstractNumId="11">
    <w:nsid w:val="5E14724C"/>
    <w:multiLevelType w:val="multilevel"/>
    <w:tmpl w:val="5E14724C"/>
    <w:lvl w:ilvl="0" w:tentative="0">
      <w:start w:val="1"/>
      <w:numFmt w:val="chineseCountingThousand"/>
      <w:lvlText w:val="(%1)"/>
      <w:lvlJc w:val="left"/>
      <w:pPr>
        <w:ind w:left="1320" w:hanging="420"/>
      </w:p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2">
    <w:nsid w:val="60707B58"/>
    <w:multiLevelType w:val="multilevel"/>
    <w:tmpl w:val="60707B58"/>
    <w:lvl w:ilvl="0" w:tentative="0">
      <w:start w:val="1"/>
      <w:numFmt w:val="japaneseCounting"/>
      <w:lvlText w:val="第%1章"/>
      <w:lvlJc w:val="left"/>
      <w:pPr>
        <w:ind w:left="2295" w:hanging="13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193070D"/>
    <w:multiLevelType w:val="multilevel"/>
    <w:tmpl w:val="6193070D"/>
    <w:lvl w:ilvl="0" w:tentative="0">
      <w:start w:val="12"/>
      <w:numFmt w:val="decimal"/>
      <w:lvlText w:val="%1"/>
      <w:lvlJc w:val="left"/>
      <w:pPr>
        <w:ind w:left="600" w:hanging="60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4">
    <w:nsid w:val="637423EA"/>
    <w:multiLevelType w:val="multilevel"/>
    <w:tmpl w:val="637423EA"/>
    <w:lvl w:ilvl="0" w:tentative="0">
      <w:start w:val="1"/>
      <w:numFmt w:val="decimal"/>
      <w:lvlText w:val="（%1）"/>
      <w:lvlJc w:val="left"/>
      <w:pPr>
        <w:ind w:left="1260" w:hanging="420"/>
      </w:pPr>
      <w:rPr>
        <w:rFonts w:hint="default"/>
        <w:lang w:val="en-US"/>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657B76D8"/>
    <w:multiLevelType w:val="multilevel"/>
    <w:tmpl w:val="657B76D8"/>
    <w:lvl w:ilvl="0" w:tentative="0">
      <w:start w:val="1"/>
      <w:numFmt w:val="decimal"/>
      <w:lvlText w:val="%1、"/>
      <w:lvlJc w:val="left"/>
      <w:pPr>
        <w:ind w:left="900" w:hanging="420"/>
      </w:pPr>
      <w:rPr>
        <w:rFonts w:hint="default" w:ascii="宋体" w:hAnsi="宋体" w:eastAsia="宋体" w:cs="宋体"/>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660C2F84"/>
    <w:multiLevelType w:val="multilevel"/>
    <w:tmpl w:val="660C2F84"/>
    <w:lvl w:ilvl="0" w:tentative="0">
      <w:start w:val="1"/>
      <w:numFmt w:val="chineseCountingThousand"/>
      <w:lvlText w:val="%1、"/>
      <w:lvlJc w:val="left"/>
      <w:pPr>
        <w:ind w:left="846"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681A6B70"/>
    <w:multiLevelType w:val="multilevel"/>
    <w:tmpl w:val="681A6B70"/>
    <w:lvl w:ilvl="0" w:tentative="0">
      <w:start w:val="9"/>
      <w:numFmt w:val="decimal"/>
      <w:lvlText w:val="%1"/>
      <w:lvlJc w:val="left"/>
      <w:pPr>
        <w:ind w:left="375" w:hanging="375"/>
      </w:pPr>
      <w:rPr>
        <w:rFonts w:hint="default"/>
      </w:rPr>
    </w:lvl>
    <w:lvl w:ilvl="1" w:tentative="0">
      <w:start w:val="1"/>
      <w:numFmt w:val="chineseCountingThousand"/>
      <w:lvlText w:val="(%2)"/>
      <w:lvlJc w:val="left"/>
      <w:pPr>
        <w:ind w:left="1367" w:hanging="375"/>
      </w:pPr>
      <w:rPr>
        <w:rFonts w:hint="default"/>
      </w:rPr>
    </w:lvl>
    <w:lvl w:ilvl="2" w:tentative="0">
      <w:start w:val="1"/>
      <w:numFmt w:val="decimal"/>
      <w:lvlText w:val="%1.%2.%3"/>
      <w:lvlJc w:val="left"/>
      <w:pPr>
        <w:ind w:left="2704" w:hanging="720"/>
      </w:pPr>
      <w:rPr>
        <w:rFonts w:hint="default"/>
      </w:rPr>
    </w:lvl>
    <w:lvl w:ilvl="3" w:tentative="0">
      <w:start w:val="1"/>
      <w:numFmt w:val="decimal"/>
      <w:lvlText w:val="%1.%2.%3.%4"/>
      <w:lvlJc w:val="left"/>
      <w:pPr>
        <w:ind w:left="4056" w:hanging="1080"/>
      </w:pPr>
      <w:rPr>
        <w:rFonts w:hint="default"/>
      </w:rPr>
    </w:lvl>
    <w:lvl w:ilvl="4" w:tentative="0">
      <w:start w:val="1"/>
      <w:numFmt w:val="decimal"/>
      <w:lvlText w:val="%1.%2.%3.%4.%5"/>
      <w:lvlJc w:val="left"/>
      <w:pPr>
        <w:ind w:left="5048" w:hanging="1080"/>
      </w:pPr>
      <w:rPr>
        <w:rFonts w:hint="default"/>
      </w:rPr>
    </w:lvl>
    <w:lvl w:ilvl="5" w:tentative="0">
      <w:start w:val="1"/>
      <w:numFmt w:val="decimal"/>
      <w:lvlText w:val="%1.%2.%3.%4.%5.%6"/>
      <w:lvlJc w:val="left"/>
      <w:pPr>
        <w:ind w:left="6400" w:hanging="1440"/>
      </w:pPr>
      <w:rPr>
        <w:rFonts w:hint="default"/>
      </w:rPr>
    </w:lvl>
    <w:lvl w:ilvl="6" w:tentative="0">
      <w:start w:val="1"/>
      <w:numFmt w:val="decimal"/>
      <w:lvlText w:val="%1.%2.%3.%4.%5.%6.%7"/>
      <w:lvlJc w:val="left"/>
      <w:pPr>
        <w:ind w:left="7392" w:hanging="1440"/>
      </w:pPr>
      <w:rPr>
        <w:rFonts w:hint="default"/>
      </w:rPr>
    </w:lvl>
    <w:lvl w:ilvl="7" w:tentative="0">
      <w:start w:val="1"/>
      <w:numFmt w:val="decimal"/>
      <w:lvlText w:val="%1.%2.%3.%4.%5.%6.%7.%8"/>
      <w:lvlJc w:val="left"/>
      <w:pPr>
        <w:ind w:left="8744" w:hanging="1800"/>
      </w:pPr>
      <w:rPr>
        <w:rFonts w:hint="default"/>
      </w:rPr>
    </w:lvl>
    <w:lvl w:ilvl="8" w:tentative="0">
      <w:start w:val="1"/>
      <w:numFmt w:val="decimal"/>
      <w:lvlText w:val="%1.%2.%3.%4.%5.%6.%7.%8.%9"/>
      <w:lvlJc w:val="left"/>
      <w:pPr>
        <w:ind w:left="10096" w:hanging="2160"/>
      </w:pPr>
      <w:rPr>
        <w:rFonts w:hint="default"/>
      </w:rPr>
    </w:lvl>
  </w:abstractNum>
  <w:abstractNum w:abstractNumId="18">
    <w:nsid w:val="6F613101"/>
    <w:multiLevelType w:val="multilevel"/>
    <w:tmpl w:val="6F613101"/>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6FF4280C"/>
    <w:multiLevelType w:val="multilevel"/>
    <w:tmpl w:val="6FF4280C"/>
    <w:lvl w:ilvl="0" w:tentative="0">
      <w:start w:val="1"/>
      <w:numFmt w:val="chineseCountingThousand"/>
      <w:lvlText w:val="(%1)"/>
      <w:lvlJc w:val="left"/>
      <w:pPr>
        <w:ind w:left="900" w:hanging="420"/>
      </w:pPr>
    </w:lvl>
    <w:lvl w:ilvl="1" w:tentative="0">
      <w:start w:val="1"/>
      <w:numFmt w:val="decimal"/>
      <w:isLgl/>
      <w:lvlText w:val="%1.%2"/>
      <w:lvlJc w:val="left"/>
      <w:pPr>
        <w:ind w:left="855" w:hanging="375"/>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20">
    <w:nsid w:val="7062302B"/>
    <w:multiLevelType w:val="multilevel"/>
    <w:tmpl w:val="7062302B"/>
    <w:lvl w:ilvl="0" w:tentative="0">
      <w:start w:val="1"/>
      <w:numFmt w:val="chineseCountingThousand"/>
      <w:lvlText w:val="(%1)"/>
      <w:lvlJc w:val="left"/>
      <w:pPr>
        <w:ind w:left="900" w:hanging="420"/>
      </w:pPr>
    </w:lvl>
    <w:lvl w:ilvl="1" w:tentative="0">
      <w:start w:val="1"/>
      <w:numFmt w:val="decimal"/>
      <w:isLgl/>
      <w:lvlText w:val="%1.%2"/>
      <w:lvlJc w:val="left"/>
      <w:pPr>
        <w:ind w:left="855" w:hanging="375"/>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21">
    <w:nsid w:val="746B7E99"/>
    <w:multiLevelType w:val="multilevel"/>
    <w:tmpl w:val="746B7E99"/>
    <w:lvl w:ilvl="0" w:tentative="0">
      <w:start w:val="1"/>
      <w:numFmt w:val="decimal"/>
      <w:lvlText w:val="%1."/>
      <w:lvlJc w:val="left"/>
      <w:pPr>
        <w:ind w:left="900" w:hanging="420"/>
      </w:pPr>
    </w:lvl>
    <w:lvl w:ilvl="1" w:tentative="0">
      <w:start w:val="1"/>
      <w:numFmt w:val="chineseCountingThousand"/>
      <w:lvlText w:val="(%2)"/>
      <w:lvlJc w:val="left"/>
      <w:pPr>
        <w:ind w:left="855" w:hanging="375"/>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22">
    <w:nsid w:val="78F770E7"/>
    <w:multiLevelType w:val="multilevel"/>
    <w:tmpl w:val="78F770E7"/>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12"/>
  </w:num>
  <w:num w:numId="2">
    <w:abstractNumId w:val="0"/>
  </w:num>
  <w:num w:numId="3">
    <w:abstractNumId w:val="4"/>
  </w:num>
  <w:num w:numId="4">
    <w:abstractNumId w:val="10"/>
  </w:num>
  <w:num w:numId="5">
    <w:abstractNumId w:val="21"/>
  </w:num>
  <w:num w:numId="6">
    <w:abstractNumId w:val="15"/>
  </w:num>
  <w:num w:numId="7">
    <w:abstractNumId w:val="7"/>
  </w:num>
  <w:num w:numId="8">
    <w:abstractNumId w:val="14"/>
  </w:num>
  <w:num w:numId="9">
    <w:abstractNumId w:val="2"/>
  </w:num>
  <w:num w:numId="10">
    <w:abstractNumId w:val="13"/>
  </w:num>
  <w:num w:numId="11">
    <w:abstractNumId w:val="18"/>
  </w:num>
  <w:num w:numId="12">
    <w:abstractNumId w:val="16"/>
  </w:num>
  <w:num w:numId="13">
    <w:abstractNumId w:val="11"/>
  </w:num>
  <w:num w:numId="14">
    <w:abstractNumId w:val="19"/>
  </w:num>
  <w:num w:numId="15">
    <w:abstractNumId w:val="6"/>
  </w:num>
  <w:num w:numId="16">
    <w:abstractNumId w:val="5"/>
  </w:num>
  <w:num w:numId="17">
    <w:abstractNumId w:val="1"/>
  </w:num>
  <w:num w:numId="18">
    <w:abstractNumId w:val="3"/>
  </w:num>
  <w:num w:numId="19">
    <w:abstractNumId w:val="20"/>
  </w:num>
  <w:num w:numId="20">
    <w:abstractNumId w:val="8"/>
  </w:num>
  <w:num w:numId="21">
    <w:abstractNumId w:val="17"/>
  </w:num>
  <w:num w:numId="22">
    <w:abstractNumId w:val="2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88"/>
    <w:rsid w:val="0000116D"/>
    <w:rsid w:val="00004CBA"/>
    <w:rsid w:val="00005174"/>
    <w:rsid w:val="000068CC"/>
    <w:rsid w:val="000075C6"/>
    <w:rsid w:val="00007A05"/>
    <w:rsid w:val="00010D56"/>
    <w:rsid w:val="000145D0"/>
    <w:rsid w:val="00014643"/>
    <w:rsid w:val="000154FC"/>
    <w:rsid w:val="0001644D"/>
    <w:rsid w:val="00016E94"/>
    <w:rsid w:val="00017661"/>
    <w:rsid w:val="00017A86"/>
    <w:rsid w:val="00017B7F"/>
    <w:rsid w:val="00017DBB"/>
    <w:rsid w:val="00020A0F"/>
    <w:rsid w:val="00020D84"/>
    <w:rsid w:val="00022762"/>
    <w:rsid w:val="00023554"/>
    <w:rsid w:val="00023897"/>
    <w:rsid w:val="00023D4D"/>
    <w:rsid w:val="00023F51"/>
    <w:rsid w:val="00024330"/>
    <w:rsid w:val="00024D24"/>
    <w:rsid w:val="00025695"/>
    <w:rsid w:val="0002576A"/>
    <w:rsid w:val="00026D13"/>
    <w:rsid w:val="000273D2"/>
    <w:rsid w:val="0002757E"/>
    <w:rsid w:val="00027CBB"/>
    <w:rsid w:val="000305C7"/>
    <w:rsid w:val="0003079E"/>
    <w:rsid w:val="00030DD7"/>
    <w:rsid w:val="0003289F"/>
    <w:rsid w:val="00033569"/>
    <w:rsid w:val="00034336"/>
    <w:rsid w:val="000345A1"/>
    <w:rsid w:val="00035349"/>
    <w:rsid w:val="0003618F"/>
    <w:rsid w:val="00036C63"/>
    <w:rsid w:val="00042CAC"/>
    <w:rsid w:val="00043716"/>
    <w:rsid w:val="0004449D"/>
    <w:rsid w:val="00044537"/>
    <w:rsid w:val="00044BB1"/>
    <w:rsid w:val="00045BBF"/>
    <w:rsid w:val="00046056"/>
    <w:rsid w:val="00047AF7"/>
    <w:rsid w:val="00047B40"/>
    <w:rsid w:val="00047E15"/>
    <w:rsid w:val="0005024D"/>
    <w:rsid w:val="0005063F"/>
    <w:rsid w:val="000510A4"/>
    <w:rsid w:val="00052373"/>
    <w:rsid w:val="000525AB"/>
    <w:rsid w:val="00052B63"/>
    <w:rsid w:val="000541AF"/>
    <w:rsid w:val="000544D8"/>
    <w:rsid w:val="00054A4E"/>
    <w:rsid w:val="00054E20"/>
    <w:rsid w:val="000555A6"/>
    <w:rsid w:val="000561AA"/>
    <w:rsid w:val="0005644B"/>
    <w:rsid w:val="00056A04"/>
    <w:rsid w:val="000572DE"/>
    <w:rsid w:val="0005736A"/>
    <w:rsid w:val="00062013"/>
    <w:rsid w:val="00063620"/>
    <w:rsid w:val="0006366B"/>
    <w:rsid w:val="00063D31"/>
    <w:rsid w:val="00064BCA"/>
    <w:rsid w:val="00066407"/>
    <w:rsid w:val="00066C23"/>
    <w:rsid w:val="0006719B"/>
    <w:rsid w:val="0007120E"/>
    <w:rsid w:val="0007225B"/>
    <w:rsid w:val="000730E4"/>
    <w:rsid w:val="00075018"/>
    <w:rsid w:val="00076F19"/>
    <w:rsid w:val="00076FDC"/>
    <w:rsid w:val="000800D0"/>
    <w:rsid w:val="0008051B"/>
    <w:rsid w:val="00081221"/>
    <w:rsid w:val="0008168E"/>
    <w:rsid w:val="00082A0E"/>
    <w:rsid w:val="000848D7"/>
    <w:rsid w:val="0008586A"/>
    <w:rsid w:val="00085BE4"/>
    <w:rsid w:val="000865FE"/>
    <w:rsid w:val="000867B7"/>
    <w:rsid w:val="00087BA0"/>
    <w:rsid w:val="00087EEF"/>
    <w:rsid w:val="00090855"/>
    <w:rsid w:val="00091A3C"/>
    <w:rsid w:val="00092939"/>
    <w:rsid w:val="00092EA2"/>
    <w:rsid w:val="00095344"/>
    <w:rsid w:val="00095454"/>
    <w:rsid w:val="00096F67"/>
    <w:rsid w:val="0009706C"/>
    <w:rsid w:val="00097EA3"/>
    <w:rsid w:val="000A035E"/>
    <w:rsid w:val="000A621D"/>
    <w:rsid w:val="000A6A09"/>
    <w:rsid w:val="000A6C5F"/>
    <w:rsid w:val="000A6D86"/>
    <w:rsid w:val="000A7141"/>
    <w:rsid w:val="000A7818"/>
    <w:rsid w:val="000B13E0"/>
    <w:rsid w:val="000B1DB0"/>
    <w:rsid w:val="000B3013"/>
    <w:rsid w:val="000B5028"/>
    <w:rsid w:val="000B654B"/>
    <w:rsid w:val="000B685B"/>
    <w:rsid w:val="000B6FB2"/>
    <w:rsid w:val="000C07C1"/>
    <w:rsid w:val="000C161C"/>
    <w:rsid w:val="000C1B83"/>
    <w:rsid w:val="000C2636"/>
    <w:rsid w:val="000C2756"/>
    <w:rsid w:val="000C2C48"/>
    <w:rsid w:val="000C3CE7"/>
    <w:rsid w:val="000D0E9D"/>
    <w:rsid w:val="000D2F1C"/>
    <w:rsid w:val="000D3AE4"/>
    <w:rsid w:val="000D57A6"/>
    <w:rsid w:val="000D7BA9"/>
    <w:rsid w:val="000E01B1"/>
    <w:rsid w:val="000E0636"/>
    <w:rsid w:val="000E0E52"/>
    <w:rsid w:val="000E1D65"/>
    <w:rsid w:val="000E2BC7"/>
    <w:rsid w:val="000E3431"/>
    <w:rsid w:val="000E34A1"/>
    <w:rsid w:val="000E4447"/>
    <w:rsid w:val="000E636D"/>
    <w:rsid w:val="000E6469"/>
    <w:rsid w:val="000E663E"/>
    <w:rsid w:val="000E708D"/>
    <w:rsid w:val="000E769B"/>
    <w:rsid w:val="000E7A13"/>
    <w:rsid w:val="000E7DEA"/>
    <w:rsid w:val="000F14C9"/>
    <w:rsid w:val="000F1EBA"/>
    <w:rsid w:val="000F204F"/>
    <w:rsid w:val="000F4822"/>
    <w:rsid w:val="000F5CC6"/>
    <w:rsid w:val="000F63B1"/>
    <w:rsid w:val="001008C7"/>
    <w:rsid w:val="00103F5F"/>
    <w:rsid w:val="00104A71"/>
    <w:rsid w:val="0010506E"/>
    <w:rsid w:val="001056A8"/>
    <w:rsid w:val="001068C1"/>
    <w:rsid w:val="00112571"/>
    <w:rsid w:val="00112E34"/>
    <w:rsid w:val="00113EFD"/>
    <w:rsid w:val="00114C87"/>
    <w:rsid w:val="0011575B"/>
    <w:rsid w:val="00116349"/>
    <w:rsid w:val="001165FD"/>
    <w:rsid w:val="0012120F"/>
    <w:rsid w:val="00125A07"/>
    <w:rsid w:val="00125DBB"/>
    <w:rsid w:val="001261A6"/>
    <w:rsid w:val="001267EE"/>
    <w:rsid w:val="001274C9"/>
    <w:rsid w:val="0012799F"/>
    <w:rsid w:val="00130B7A"/>
    <w:rsid w:val="0013162D"/>
    <w:rsid w:val="001328D6"/>
    <w:rsid w:val="00133A87"/>
    <w:rsid w:val="00133C1E"/>
    <w:rsid w:val="00134359"/>
    <w:rsid w:val="001343CD"/>
    <w:rsid w:val="00135687"/>
    <w:rsid w:val="0013676D"/>
    <w:rsid w:val="001402BC"/>
    <w:rsid w:val="00140733"/>
    <w:rsid w:val="00141A52"/>
    <w:rsid w:val="00141E00"/>
    <w:rsid w:val="00144B9D"/>
    <w:rsid w:val="001455DC"/>
    <w:rsid w:val="00146C2C"/>
    <w:rsid w:val="00150426"/>
    <w:rsid w:val="001517D2"/>
    <w:rsid w:val="0015204C"/>
    <w:rsid w:val="00152FFD"/>
    <w:rsid w:val="00154934"/>
    <w:rsid w:val="00154EFB"/>
    <w:rsid w:val="00155A54"/>
    <w:rsid w:val="00155A99"/>
    <w:rsid w:val="00156FEB"/>
    <w:rsid w:val="00160FC8"/>
    <w:rsid w:val="00162554"/>
    <w:rsid w:val="001638AA"/>
    <w:rsid w:val="001638FC"/>
    <w:rsid w:val="00163E8E"/>
    <w:rsid w:val="00164224"/>
    <w:rsid w:val="00164C54"/>
    <w:rsid w:val="001667E8"/>
    <w:rsid w:val="00166EFB"/>
    <w:rsid w:val="00170D52"/>
    <w:rsid w:val="001728F4"/>
    <w:rsid w:val="00172BD9"/>
    <w:rsid w:val="00173E84"/>
    <w:rsid w:val="00175666"/>
    <w:rsid w:val="0017588A"/>
    <w:rsid w:val="00176301"/>
    <w:rsid w:val="00177129"/>
    <w:rsid w:val="00177581"/>
    <w:rsid w:val="00180263"/>
    <w:rsid w:val="001808D8"/>
    <w:rsid w:val="00180F5B"/>
    <w:rsid w:val="001816EA"/>
    <w:rsid w:val="0018214D"/>
    <w:rsid w:val="00182B79"/>
    <w:rsid w:val="00184050"/>
    <w:rsid w:val="001879B8"/>
    <w:rsid w:val="00187E39"/>
    <w:rsid w:val="00190B61"/>
    <w:rsid w:val="00191D02"/>
    <w:rsid w:val="00191DEF"/>
    <w:rsid w:val="00192FAE"/>
    <w:rsid w:val="00193BCD"/>
    <w:rsid w:val="00194B8E"/>
    <w:rsid w:val="00196A57"/>
    <w:rsid w:val="00196B5A"/>
    <w:rsid w:val="0019788E"/>
    <w:rsid w:val="001A197C"/>
    <w:rsid w:val="001A1A6C"/>
    <w:rsid w:val="001A28DA"/>
    <w:rsid w:val="001A3720"/>
    <w:rsid w:val="001A6C5E"/>
    <w:rsid w:val="001A6CB7"/>
    <w:rsid w:val="001B1B63"/>
    <w:rsid w:val="001B2486"/>
    <w:rsid w:val="001B47F6"/>
    <w:rsid w:val="001B4B61"/>
    <w:rsid w:val="001B6404"/>
    <w:rsid w:val="001C0DF7"/>
    <w:rsid w:val="001C17BF"/>
    <w:rsid w:val="001C2F74"/>
    <w:rsid w:val="001C3B81"/>
    <w:rsid w:val="001C52F7"/>
    <w:rsid w:val="001C5491"/>
    <w:rsid w:val="001C652E"/>
    <w:rsid w:val="001C6FF2"/>
    <w:rsid w:val="001C7A93"/>
    <w:rsid w:val="001D072F"/>
    <w:rsid w:val="001D0817"/>
    <w:rsid w:val="001D12FC"/>
    <w:rsid w:val="001D1661"/>
    <w:rsid w:val="001D1863"/>
    <w:rsid w:val="001D1887"/>
    <w:rsid w:val="001D18B8"/>
    <w:rsid w:val="001D1E70"/>
    <w:rsid w:val="001D22FB"/>
    <w:rsid w:val="001D3240"/>
    <w:rsid w:val="001D42A7"/>
    <w:rsid w:val="001D4F7A"/>
    <w:rsid w:val="001D5225"/>
    <w:rsid w:val="001D5D12"/>
    <w:rsid w:val="001D5DAD"/>
    <w:rsid w:val="001D65F8"/>
    <w:rsid w:val="001D75A3"/>
    <w:rsid w:val="001E2FF3"/>
    <w:rsid w:val="001E31DA"/>
    <w:rsid w:val="001E4096"/>
    <w:rsid w:val="001E4D02"/>
    <w:rsid w:val="001E5005"/>
    <w:rsid w:val="001E6950"/>
    <w:rsid w:val="001F052C"/>
    <w:rsid w:val="001F16C1"/>
    <w:rsid w:val="001F2CAD"/>
    <w:rsid w:val="001F4296"/>
    <w:rsid w:val="001F480E"/>
    <w:rsid w:val="001F5542"/>
    <w:rsid w:val="001F6F35"/>
    <w:rsid w:val="001F6F7A"/>
    <w:rsid w:val="001F7928"/>
    <w:rsid w:val="001F792D"/>
    <w:rsid w:val="0020195C"/>
    <w:rsid w:val="00202A63"/>
    <w:rsid w:val="002066DB"/>
    <w:rsid w:val="00206DEF"/>
    <w:rsid w:val="00210569"/>
    <w:rsid w:val="00211235"/>
    <w:rsid w:val="00211663"/>
    <w:rsid w:val="00211967"/>
    <w:rsid w:val="00211D26"/>
    <w:rsid w:val="002167FD"/>
    <w:rsid w:val="00216C79"/>
    <w:rsid w:val="002179B3"/>
    <w:rsid w:val="00221569"/>
    <w:rsid w:val="0022221F"/>
    <w:rsid w:val="00222A5E"/>
    <w:rsid w:val="002234C1"/>
    <w:rsid w:val="00223683"/>
    <w:rsid w:val="002256FB"/>
    <w:rsid w:val="002258DB"/>
    <w:rsid w:val="00230392"/>
    <w:rsid w:val="00232077"/>
    <w:rsid w:val="0023210F"/>
    <w:rsid w:val="00232690"/>
    <w:rsid w:val="002338ED"/>
    <w:rsid w:val="00234276"/>
    <w:rsid w:val="00234707"/>
    <w:rsid w:val="00237811"/>
    <w:rsid w:val="00240972"/>
    <w:rsid w:val="0024109F"/>
    <w:rsid w:val="00241C90"/>
    <w:rsid w:val="0024217A"/>
    <w:rsid w:val="002441D3"/>
    <w:rsid w:val="00244893"/>
    <w:rsid w:val="002454D8"/>
    <w:rsid w:val="002463AD"/>
    <w:rsid w:val="00247A82"/>
    <w:rsid w:val="00250E37"/>
    <w:rsid w:val="00253193"/>
    <w:rsid w:val="002534B3"/>
    <w:rsid w:val="00253F53"/>
    <w:rsid w:val="00255776"/>
    <w:rsid w:val="002609CA"/>
    <w:rsid w:val="00260E5F"/>
    <w:rsid w:val="0026156C"/>
    <w:rsid w:val="00263009"/>
    <w:rsid w:val="00263011"/>
    <w:rsid w:val="00263611"/>
    <w:rsid w:val="002636B1"/>
    <w:rsid w:val="002637A9"/>
    <w:rsid w:val="00263BA4"/>
    <w:rsid w:val="00263C01"/>
    <w:rsid w:val="0026494C"/>
    <w:rsid w:val="00264A0D"/>
    <w:rsid w:val="00264BBB"/>
    <w:rsid w:val="00264EBD"/>
    <w:rsid w:val="00265EA0"/>
    <w:rsid w:val="00266EB3"/>
    <w:rsid w:val="002675C8"/>
    <w:rsid w:val="00267B80"/>
    <w:rsid w:val="0027089E"/>
    <w:rsid w:val="00270F13"/>
    <w:rsid w:val="00273325"/>
    <w:rsid w:val="002739D8"/>
    <w:rsid w:val="00274292"/>
    <w:rsid w:val="0027601E"/>
    <w:rsid w:val="00276F1C"/>
    <w:rsid w:val="00277720"/>
    <w:rsid w:val="00277AD9"/>
    <w:rsid w:val="00280257"/>
    <w:rsid w:val="00281944"/>
    <w:rsid w:val="00282BFC"/>
    <w:rsid w:val="002831A1"/>
    <w:rsid w:val="0028515F"/>
    <w:rsid w:val="0028516F"/>
    <w:rsid w:val="00290C2C"/>
    <w:rsid w:val="00293B2B"/>
    <w:rsid w:val="00295D61"/>
    <w:rsid w:val="002973D9"/>
    <w:rsid w:val="002A05C2"/>
    <w:rsid w:val="002A1E88"/>
    <w:rsid w:val="002A206E"/>
    <w:rsid w:val="002A4652"/>
    <w:rsid w:val="002A46E1"/>
    <w:rsid w:val="002A48ED"/>
    <w:rsid w:val="002A4D40"/>
    <w:rsid w:val="002A5DB6"/>
    <w:rsid w:val="002A5E69"/>
    <w:rsid w:val="002B014D"/>
    <w:rsid w:val="002B3A15"/>
    <w:rsid w:val="002B49D1"/>
    <w:rsid w:val="002B6198"/>
    <w:rsid w:val="002B7732"/>
    <w:rsid w:val="002C2C1A"/>
    <w:rsid w:val="002C39A1"/>
    <w:rsid w:val="002C5479"/>
    <w:rsid w:val="002C6C37"/>
    <w:rsid w:val="002D163A"/>
    <w:rsid w:val="002D1A27"/>
    <w:rsid w:val="002D1D25"/>
    <w:rsid w:val="002D3869"/>
    <w:rsid w:val="002D3B6B"/>
    <w:rsid w:val="002D471E"/>
    <w:rsid w:val="002D4B47"/>
    <w:rsid w:val="002D4E21"/>
    <w:rsid w:val="002D6D95"/>
    <w:rsid w:val="002E2CA5"/>
    <w:rsid w:val="002E31CB"/>
    <w:rsid w:val="002E4E27"/>
    <w:rsid w:val="002E550F"/>
    <w:rsid w:val="002E6440"/>
    <w:rsid w:val="002E6A64"/>
    <w:rsid w:val="002E7667"/>
    <w:rsid w:val="002F1163"/>
    <w:rsid w:val="002F12A2"/>
    <w:rsid w:val="002F1806"/>
    <w:rsid w:val="002F41CB"/>
    <w:rsid w:val="002F4C28"/>
    <w:rsid w:val="002F4E0B"/>
    <w:rsid w:val="002F63F7"/>
    <w:rsid w:val="002F751D"/>
    <w:rsid w:val="002F78BC"/>
    <w:rsid w:val="002F79A4"/>
    <w:rsid w:val="002F7B5F"/>
    <w:rsid w:val="00300E1F"/>
    <w:rsid w:val="00300E74"/>
    <w:rsid w:val="00301412"/>
    <w:rsid w:val="00301799"/>
    <w:rsid w:val="00302F05"/>
    <w:rsid w:val="0030502E"/>
    <w:rsid w:val="003067D6"/>
    <w:rsid w:val="00307A57"/>
    <w:rsid w:val="00310E9C"/>
    <w:rsid w:val="00310FBD"/>
    <w:rsid w:val="00312998"/>
    <w:rsid w:val="0031417A"/>
    <w:rsid w:val="00314217"/>
    <w:rsid w:val="00315547"/>
    <w:rsid w:val="0031581D"/>
    <w:rsid w:val="003159FB"/>
    <w:rsid w:val="00316806"/>
    <w:rsid w:val="00320857"/>
    <w:rsid w:val="003217E7"/>
    <w:rsid w:val="00323571"/>
    <w:rsid w:val="0032440E"/>
    <w:rsid w:val="00324737"/>
    <w:rsid w:val="00325392"/>
    <w:rsid w:val="00327983"/>
    <w:rsid w:val="00330CF2"/>
    <w:rsid w:val="00335F14"/>
    <w:rsid w:val="00336A89"/>
    <w:rsid w:val="00336C92"/>
    <w:rsid w:val="00336C9D"/>
    <w:rsid w:val="00336FAD"/>
    <w:rsid w:val="00337699"/>
    <w:rsid w:val="003378E1"/>
    <w:rsid w:val="00337921"/>
    <w:rsid w:val="00337B35"/>
    <w:rsid w:val="003400E4"/>
    <w:rsid w:val="0034097E"/>
    <w:rsid w:val="00341A9F"/>
    <w:rsid w:val="00342342"/>
    <w:rsid w:val="00343337"/>
    <w:rsid w:val="0034412A"/>
    <w:rsid w:val="00344E9B"/>
    <w:rsid w:val="00345036"/>
    <w:rsid w:val="003465D4"/>
    <w:rsid w:val="00350107"/>
    <w:rsid w:val="00350304"/>
    <w:rsid w:val="00353DD9"/>
    <w:rsid w:val="00356311"/>
    <w:rsid w:val="00356907"/>
    <w:rsid w:val="003620D1"/>
    <w:rsid w:val="00362C44"/>
    <w:rsid w:val="00364828"/>
    <w:rsid w:val="00364B63"/>
    <w:rsid w:val="00366537"/>
    <w:rsid w:val="00367680"/>
    <w:rsid w:val="00370336"/>
    <w:rsid w:val="00371B94"/>
    <w:rsid w:val="003721AE"/>
    <w:rsid w:val="003725AC"/>
    <w:rsid w:val="00372C37"/>
    <w:rsid w:val="00372D7A"/>
    <w:rsid w:val="0037577A"/>
    <w:rsid w:val="00376247"/>
    <w:rsid w:val="00376B5B"/>
    <w:rsid w:val="0037763C"/>
    <w:rsid w:val="00377660"/>
    <w:rsid w:val="00377EE8"/>
    <w:rsid w:val="00380871"/>
    <w:rsid w:val="00380880"/>
    <w:rsid w:val="00380DA2"/>
    <w:rsid w:val="00381469"/>
    <w:rsid w:val="00382607"/>
    <w:rsid w:val="003831C7"/>
    <w:rsid w:val="003845D0"/>
    <w:rsid w:val="00385213"/>
    <w:rsid w:val="00385781"/>
    <w:rsid w:val="0038590C"/>
    <w:rsid w:val="00385D2D"/>
    <w:rsid w:val="003863AA"/>
    <w:rsid w:val="00386B32"/>
    <w:rsid w:val="0038768B"/>
    <w:rsid w:val="00387B43"/>
    <w:rsid w:val="003913B7"/>
    <w:rsid w:val="003916D5"/>
    <w:rsid w:val="00392144"/>
    <w:rsid w:val="003921D9"/>
    <w:rsid w:val="003926FF"/>
    <w:rsid w:val="0039589F"/>
    <w:rsid w:val="00396366"/>
    <w:rsid w:val="00397059"/>
    <w:rsid w:val="003970E8"/>
    <w:rsid w:val="003A0A79"/>
    <w:rsid w:val="003A1CDC"/>
    <w:rsid w:val="003A2416"/>
    <w:rsid w:val="003A37C8"/>
    <w:rsid w:val="003A39F5"/>
    <w:rsid w:val="003A3C6B"/>
    <w:rsid w:val="003A3E87"/>
    <w:rsid w:val="003A64DA"/>
    <w:rsid w:val="003A6C6A"/>
    <w:rsid w:val="003B0B9D"/>
    <w:rsid w:val="003B30EB"/>
    <w:rsid w:val="003B3B09"/>
    <w:rsid w:val="003B4FCE"/>
    <w:rsid w:val="003B5652"/>
    <w:rsid w:val="003B5B39"/>
    <w:rsid w:val="003B5CED"/>
    <w:rsid w:val="003B688C"/>
    <w:rsid w:val="003B6C2C"/>
    <w:rsid w:val="003C0343"/>
    <w:rsid w:val="003C042D"/>
    <w:rsid w:val="003C111E"/>
    <w:rsid w:val="003C29D8"/>
    <w:rsid w:val="003C2CAC"/>
    <w:rsid w:val="003C3326"/>
    <w:rsid w:val="003C3A25"/>
    <w:rsid w:val="003C45C2"/>
    <w:rsid w:val="003C4D1F"/>
    <w:rsid w:val="003C6C04"/>
    <w:rsid w:val="003D1255"/>
    <w:rsid w:val="003D164F"/>
    <w:rsid w:val="003D1E96"/>
    <w:rsid w:val="003D20FB"/>
    <w:rsid w:val="003D30F2"/>
    <w:rsid w:val="003D3B73"/>
    <w:rsid w:val="003D5A6B"/>
    <w:rsid w:val="003D67C4"/>
    <w:rsid w:val="003D7C7B"/>
    <w:rsid w:val="003E06D2"/>
    <w:rsid w:val="003E103C"/>
    <w:rsid w:val="003E1DB1"/>
    <w:rsid w:val="003E1DDF"/>
    <w:rsid w:val="003E694C"/>
    <w:rsid w:val="003E7197"/>
    <w:rsid w:val="003F014C"/>
    <w:rsid w:val="003F152E"/>
    <w:rsid w:val="003F2DAF"/>
    <w:rsid w:val="003F3549"/>
    <w:rsid w:val="003F471A"/>
    <w:rsid w:val="003F6133"/>
    <w:rsid w:val="003F74ED"/>
    <w:rsid w:val="003F76F8"/>
    <w:rsid w:val="003F7BF2"/>
    <w:rsid w:val="003F7E4B"/>
    <w:rsid w:val="00400215"/>
    <w:rsid w:val="004007CB"/>
    <w:rsid w:val="00400E11"/>
    <w:rsid w:val="004010CD"/>
    <w:rsid w:val="00403222"/>
    <w:rsid w:val="00403825"/>
    <w:rsid w:val="004041D5"/>
    <w:rsid w:val="004043B7"/>
    <w:rsid w:val="00404913"/>
    <w:rsid w:val="00404DBB"/>
    <w:rsid w:val="004059DD"/>
    <w:rsid w:val="004061A0"/>
    <w:rsid w:val="004072C8"/>
    <w:rsid w:val="0041000B"/>
    <w:rsid w:val="0041479E"/>
    <w:rsid w:val="0041597B"/>
    <w:rsid w:val="004159CF"/>
    <w:rsid w:val="00416208"/>
    <w:rsid w:val="00416984"/>
    <w:rsid w:val="0041794B"/>
    <w:rsid w:val="004205BB"/>
    <w:rsid w:val="004208F9"/>
    <w:rsid w:val="004234C5"/>
    <w:rsid w:val="004235F8"/>
    <w:rsid w:val="00424CBF"/>
    <w:rsid w:val="0042557F"/>
    <w:rsid w:val="004256EB"/>
    <w:rsid w:val="00426261"/>
    <w:rsid w:val="00426D41"/>
    <w:rsid w:val="00430A10"/>
    <w:rsid w:val="004321F9"/>
    <w:rsid w:val="00432BDF"/>
    <w:rsid w:val="00435741"/>
    <w:rsid w:val="004358E9"/>
    <w:rsid w:val="00436581"/>
    <w:rsid w:val="004368E2"/>
    <w:rsid w:val="00441E01"/>
    <w:rsid w:val="00443E5F"/>
    <w:rsid w:val="00444BD4"/>
    <w:rsid w:val="00444D27"/>
    <w:rsid w:val="00444E7D"/>
    <w:rsid w:val="00445672"/>
    <w:rsid w:val="00446EF7"/>
    <w:rsid w:val="00450469"/>
    <w:rsid w:val="004526F9"/>
    <w:rsid w:val="00453563"/>
    <w:rsid w:val="0045389C"/>
    <w:rsid w:val="00454E32"/>
    <w:rsid w:val="00455C91"/>
    <w:rsid w:val="00456D59"/>
    <w:rsid w:val="00461929"/>
    <w:rsid w:val="00461FBE"/>
    <w:rsid w:val="00462F8B"/>
    <w:rsid w:val="004646B4"/>
    <w:rsid w:val="0046543B"/>
    <w:rsid w:val="00465557"/>
    <w:rsid w:val="00465D10"/>
    <w:rsid w:val="00470504"/>
    <w:rsid w:val="00470C9B"/>
    <w:rsid w:val="00471003"/>
    <w:rsid w:val="0047176F"/>
    <w:rsid w:val="00471F8B"/>
    <w:rsid w:val="00472057"/>
    <w:rsid w:val="00472781"/>
    <w:rsid w:val="00472C77"/>
    <w:rsid w:val="00473F55"/>
    <w:rsid w:val="00477C39"/>
    <w:rsid w:val="00481379"/>
    <w:rsid w:val="004817C6"/>
    <w:rsid w:val="004821B4"/>
    <w:rsid w:val="00482829"/>
    <w:rsid w:val="00482E94"/>
    <w:rsid w:val="0048333F"/>
    <w:rsid w:val="00483F1D"/>
    <w:rsid w:val="004840AF"/>
    <w:rsid w:val="004848D0"/>
    <w:rsid w:val="00484976"/>
    <w:rsid w:val="004874DC"/>
    <w:rsid w:val="00487E28"/>
    <w:rsid w:val="00491646"/>
    <w:rsid w:val="004917DE"/>
    <w:rsid w:val="004937AC"/>
    <w:rsid w:val="00494509"/>
    <w:rsid w:val="0049502B"/>
    <w:rsid w:val="00497001"/>
    <w:rsid w:val="00497F83"/>
    <w:rsid w:val="004A1FAE"/>
    <w:rsid w:val="004A2AB4"/>
    <w:rsid w:val="004A39BD"/>
    <w:rsid w:val="004A4C18"/>
    <w:rsid w:val="004A54EC"/>
    <w:rsid w:val="004A6558"/>
    <w:rsid w:val="004A6B6E"/>
    <w:rsid w:val="004A77B7"/>
    <w:rsid w:val="004A797C"/>
    <w:rsid w:val="004B0297"/>
    <w:rsid w:val="004B08FF"/>
    <w:rsid w:val="004B0A30"/>
    <w:rsid w:val="004B1730"/>
    <w:rsid w:val="004B3F22"/>
    <w:rsid w:val="004B42DF"/>
    <w:rsid w:val="004B45AC"/>
    <w:rsid w:val="004B559C"/>
    <w:rsid w:val="004B7F0B"/>
    <w:rsid w:val="004C172C"/>
    <w:rsid w:val="004C3438"/>
    <w:rsid w:val="004C46BC"/>
    <w:rsid w:val="004C49D3"/>
    <w:rsid w:val="004C5E5F"/>
    <w:rsid w:val="004C7319"/>
    <w:rsid w:val="004D03DB"/>
    <w:rsid w:val="004D2DC7"/>
    <w:rsid w:val="004D3921"/>
    <w:rsid w:val="004D5323"/>
    <w:rsid w:val="004D6425"/>
    <w:rsid w:val="004D6629"/>
    <w:rsid w:val="004E0CDA"/>
    <w:rsid w:val="004E30F1"/>
    <w:rsid w:val="004E3976"/>
    <w:rsid w:val="004E6252"/>
    <w:rsid w:val="004E70DE"/>
    <w:rsid w:val="004E760E"/>
    <w:rsid w:val="004F0A7A"/>
    <w:rsid w:val="004F18DC"/>
    <w:rsid w:val="004F21AF"/>
    <w:rsid w:val="004F49F9"/>
    <w:rsid w:val="004F5A4E"/>
    <w:rsid w:val="004F638D"/>
    <w:rsid w:val="00500349"/>
    <w:rsid w:val="00500E67"/>
    <w:rsid w:val="00504AB5"/>
    <w:rsid w:val="00505139"/>
    <w:rsid w:val="0050557E"/>
    <w:rsid w:val="005079FE"/>
    <w:rsid w:val="00511F36"/>
    <w:rsid w:val="005143FA"/>
    <w:rsid w:val="00515200"/>
    <w:rsid w:val="005158EF"/>
    <w:rsid w:val="00515E75"/>
    <w:rsid w:val="00516D5B"/>
    <w:rsid w:val="00517CDD"/>
    <w:rsid w:val="0052237C"/>
    <w:rsid w:val="00524C8D"/>
    <w:rsid w:val="005251B5"/>
    <w:rsid w:val="005252AE"/>
    <w:rsid w:val="00525982"/>
    <w:rsid w:val="00530536"/>
    <w:rsid w:val="005316BE"/>
    <w:rsid w:val="00531A03"/>
    <w:rsid w:val="0053390C"/>
    <w:rsid w:val="00533C46"/>
    <w:rsid w:val="00535ECA"/>
    <w:rsid w:val="00537E0C"/>
    <w:rsid w:val="005408EB"/>
    <w:rsid w:val="00540D59"/>
    <w:rsid w:val="00542FED"/>
    <w:rsid w:val="005447A7"/>
    <w:rsid w:val="00544FA0"/>
    <w:rsid w:val="0054528B"/>
    <w:rsid w:val="00545499"/>
    <w:rsid w:val="00545EC5"/>
    <w:rsid w:val="0054613A"/>
    <w:rsid w:val="00547A40"/>
    <w:rsid w:val="00550B60"/>
    <w:rsid w:val="00551C38"/>
    <w:rsid w:val="00552A62"/>
    <w:rsid w:val="005534D2"/>
    <w:rsid w:val="0055441F"/>
    <w:rsid w:val="00554774"/>
    <w:rsid w:val="005552C2"/>
    <w:rsid w:val="0055561F"/>
    <w:rsid w:val="00556B46"/>
    <w:rsid w:val="00556D30"/>
    <w:rsid w:val="00557CD4"/>
    <w:rsid w:val="005618C2"/>
    <w:rsid w:val="00561CAE"/>
    <w:rsid w:val="00562426"/>
    <w:rsid w:val="00562B94"/>
    <w:rsid w:val="00563794"/>
    <w:rsid w:val="00565159"/>
    <w:rsid w:val="00565658"/>
    <w:rsid w:val="0056694A"/>
    <w:rsid w:val="0056788F"/>
    <w:rsid w:val="00570D43"/>
    <w:rsid w:val="00570E5F"/>
    <w:rsid w:val="005721A2"/>
    <w:rsid w:val="00573855"/>
    <w:rsid w:val="00574929"/>
    <w:rsid w:val="00575F0A"/>
    <w:rsid w:val="005779FC"/>
    <w:rsid w:val="005810FA"/>
    <w:rsid w:val="005823FB"/>
    <w:rsid w:val="005846E8"/>
    <w:rsid w:val="00585772"/>
    <w:rsid w:val="00586195"/>
    <w:rsid w:val="00586399"/>
    <w:rsid w:val="0058660F"/>
    <w:rsid w:val="005906E7"/>
    <w:rsid w:val="005912B7"/>
    <w:rsid w:val="005921A2"/>
    <w:rsid w:val="00592482"/>
    <w:rsid w:val="00592678"/>
    <w:rsid w:val="00592FC4"/>
    <w:rsid w:val="005944DA"/>
    <w:rsid w:val="00595C06"/>
    <w:rsid w:val="00596782"/>
    <w:rsid w:val="00596871"/>
    <w:rsid w:val="00596AC0"/>
    <w:rsid w:val="00597110"/>
    <w:rsid w:val="00597B3C"/>
    <w:rsid w:val="005A0829"/>
    <w:rsid w:val="005A120F"/>
    <w:rsid w:val="005A2396"/>
    <w:rsid w:val="005A2F64"/>
    <w:rsid w:val="005A39A7"/>
    <w:rsid w:val="005A468C"/>
    <w:rsid w:val="005A5F7E"/>
    <w:rsid w:val="005B05C0"/>
    <w:rsid w:val="005B0DDA"/>
    <w:rsid w:val="005B11CE"/>
    <w:rsid w:val="005B2238"/>
    <w:rsid w:val="005B31C9"/>
    <w:rsid w:val="005B4813"/>
    <w:rsid w:val="005B5049"/>
    <w:rsid w:val="005B58E5"/>
    <w:rsid w:val="005B7B8E"/>
    <w:rsid w:val="005C0C2B"/>
    <w:rsid w:val="005C1B1A"/>
    <w:rsid w:val="005C3672"/>
    <w:rsid w:val="005C368B"/>
    <w:rsid w:val="005C4339"/>
    <w:rsid w:val="005C462E"/>
    <w:rsid w:val="005C4F2B"/>
    <w:rsid w:val="005C591B"/>
    <w:rsid w:val="005C680D"/>
    <w:rsid w:val="005C6EB8"/>
    <w:rsid w:val="005C7F0A"/>
    <w:rsid w:val="005D27A0"/>
    <w:rsid w:val="005D4BE2"/>
    <w:rsid w:val="005D5409"/>
    <w:rsid w:val="005D5C4E"/>
    <w:rsid w:val="005D65C2"/>
    <w:rsid w:val="005D6896"/>
    <w:rsid w:val="005D7002"/>
    <w:rsid w:val="005D7B09"/>
    <w:rsid w:val="005E05F9"/>
    <w:rsid w:val="005E0F63"/>
    <w:rsid w:val="005E1322"/>
    <w:rsid w:val="005E1FC2"/>
    <w:rsid w:val="005E3683"/>
    <w:rsid w:val="005E38A2"/>
    <w:rsid w:val="005E3DF5"/>
    <w:rsid w:val="005E48E9"/>
    <w:rsid w:val="005E6203"/>
    <w:rsid w:val="005E691F"/>
    <w:rsid w:val="005F0CDA"/>
    <w:rsid w:val="005F18BB"/>
    <w:rsid w:val="005F227F"/>
    <w:rsid w:val="005F2D0E"/>
    <w:rsid w:val="005F4103"/>
    <w:rsid w:val="005F6103"/>
    <w:rsid w:val="005F6793"/>
    <w:rsid w:val="005F6946"/>
    <w:rsid w:val="005F753A"/>
    <w:rsid w:val="005F7FB5"/>
    <w:rsid w:val="006009AC"/>
    <w:rsid w:val="006018F3"/>
    <w:rsid w:val="00602A31"/>
    <w:rsid w:val="00603458"/>
    <w:rsid w:val="00604186"/>
    <w:rsid w:val="0060419C"/>
    <w:rsid w:val="006051F2"/>
    <w:rsid w:val="006057F0"/>
    <w:rsid w:val="006059B8"/>
    <w:rsid w:val="00605BDA"/>
    <w:rsid w:val="006067D2"/>
    <w:rsid w:val="0060685B"/>
    <w:rsid w:val="00606B8D"/>
    <w:rsid w:val="00606FE8"/>
    <w:rsid w:val="00607319"/>
    <w:rsid w:val="00611447"/>
    <w:rsid w:val="00612118"/>
    <w:rsid w:val="00612635"/>
    <w:rsid w:val="0061320B"/>
    <w:rsid w:val="00613D74"/>
    <w:rsid w:val="00614214"/>
    <w:rsid w:val="006144B8"/>
    <w:rsid w:val="00620E8A"/>
    <w:rsid w:val="00621235"/>
    <w:rsid w:val="00622B26"/>
    <w:rsid w:val="00623A33"/>
    <w:rsid w:val="00623EC1"/>
    <w:rsid w:val="006248E8"/>
    <w:rsid w:val="006271AA"/>
    <w:rsid w:val="0063340C"/>
    <w:rsid w:val="00633734"/>
    <w:rsid w:val="00633CB6"/>
    <w:rsid w:val="0063437D"/>
    <w:rsid w:val="00636A51"/>
    <w:rsid w:val="006370C9"/>
    <w:rsid w:val="00642A2D"/>
    <w:rsid w:val="006433CD"/>
    <w:rsid w:val="006443AA"/>
    <w:rsid w:val="00644F4D"/>
    <w:rsid w:val="00646257"/>
    <w:rsid w:val="00647A76"/>
    <w:rsid w:val="0065102E"/>
    <w:rsid w:val="00651887"/>
    <w:rsid w:val="0065191F"/>
    <w:rsid w:val="00651F81"/>
    <w:rsid w:val="00654190"/>
    <w:rsid w:val="00654AB1"/>
    <w:rsid w:val="006551B3"/>
    <w:rsid w:val="00655680"/>
    <w:rsid w:val="00655B62"/>
    <w:rsid w:val="0065623D"/>
    <w:rsid w:val="00656883"/>
    <w:rsid w:val="00657375"/>
    <w:rsid w:val="0066234B"/>
    <w:rsid w:val="0066319C"/>
    <w:rsid w:val="00664B22"/>
    <w:rsid w:val="00664C5C"/>
    <w:rsid w:val="00665B7B"/>
    <w:rsid w:val="00666AD8"/>
    <w:rsid w:val="00666D6D"/>
    <w:rsid w:val="0066704D"/>
    <w:rsid w:val="006677CD"/>
    <w:rsid w:val="00671982"/>
    <w:rsid w:val="0067209D"/>
    <w:rsid w:val="00672AEF"/>
    <w:rsid w:val="006742C9"/>
    <w:rsid w:val="0067583D"/>
    <w:rsid w:val="00676E30"/>
    <w:rsid w:val="00677016"/>
    <w:rsid w:val="00677A0D"/>
    <w:rsid w:val="0068087C"/>
    <w:rsid w:val="00681DA9"/>
    <w:rsid w:val="0068215B"/>
    <w:rsid w:val="00682B5F"/>
    <w:rsid w:val="006832CF"/>
    <w:rsid w:val="00684196"/>
    <w:rsid w:val="006849DE"/>
    <w:rsid w:val="00684BA1"/>
    <w:rsid w:val="0068500E"/>
    <w:rsid w:val="006871C2"/>
    <w:rsid w:val="00687879"/>
    <w:rsid w:val="00687ACA"/>
    <w:rsid w:val="0069080A"/>
    <w:rsid w:val="00690C14"/>
    <w:rsid w:val="00691009"/>
    <w:rsid w:val="00691271"/>
    <w:rsid w:val="00691CA9"/>
    <w:rsid w:val="00691FA9"/>
    <w:rsid w:val="006950AC"/>
    <w:rsid w:val="006954A9"/>
    <w:rsid w:val="006964BF"/>
    <w:rsid w:val="00696F4D"/>
    <w:rsid w:val="00697179"/>
    <w:rsid w:val="00697285"/>
    <w:rsid w:val="00697345"/>
    <w:rsid w:val="0069780C"/>
    <w:rsid w:val="006A0071"/>
    <w:rsid w:val="006A05CC"/>
    <w:rsid w:val="006A110C"/>
    <w:rsid w:val="006A20BB"/>
    <w:rsid w:val="006A27F8"/>
    <w:rsid w:val="006A3517"/>
    <w:rsid w:val="006A36AF"/>
    <w:rsid w:val="006A43F4"/>
    <w:rsid w:val="006A5B61"/>
    <w:rsid w:val="006A6D0C"/>
    <w:rsid w:val="006A7A7E"/>
    <w:rsid w:val="006A7E3E"/>
    <w:rsid w:val="006B2F0F"/>
    <w:rsid w:val="006B3265"/>
    <w:rsid w:val="006B3431"/>
    <w:rsid w:val="006B3454"/>
    <w:rsid w:val="006B6FE0"/>
    <w:rsid w:val="006B76B9"/>
    <w:rsid w:val="006B77B1"/>
    <w:rsid w:val="006C0456"/>
    <w:rsid w:val="006C1627"/>
    <w:rsid w:val="006C17F5"/>
    <w:rsid w:val="006C2684"/>
    <w:rsid w:val="006C2B71"/>
    <w:rsid w:val="006C332C"/>
    <w:rsid w:val="006C387D"/>
    <w:rsid w:val="006C3B67"/>
    <w:rsid w:val="006C4B6E"/>
    <w:rsid w:val="006C5055"/>
    <w:rsid w:val="006C60FA"/>
    <w:rsid w:val="006C6BB5"/>
    <w:rsid w:val="006C7DF1"/>
    <w:rsid w:val="006D04E6"/>
    <w:rsid w:val="006D0A54"/>
    <w:rsid w:val="006D1221"/>
    <w:rsid w:val="006D17E6"/>
    <w:rsid w:val="006D2026"/>
    <w:rsid w:val="006D2CCB"/>
    <w:rsid w:val="006D31CB"/>
    <w:rsid w:val="006D3C4C"/>
    <w:rsid w:val="006D433A"/>
    <w:rsid w:val="006D5A37"/>
    <w:rsid w:val="006D6E41"/>
    <w:rsid w:val="006E0359"/>
    <w:rsid w:val="006E06F1"/>
    <w:rsid w:val="006E1C76"/>
    <w:rsid w:val="006E1FEC"/>
    <w:rsid w:val="006E27F0"/>
    <w:rsid w:val="006E3A73"/>
    <w:rsid w:val="006E41E5"/>
    <w:rsid w:val="006E62E1"/>
    <w:rsid w:val="006E7031"/>
    <w:rsid w:val="006F038E"/>
    <w:rsid w:val="006F05FA"/>
    <w:rsid w:val="006F1327"/>
    <w:rsid w:val="006F2323"/>
    <w:rsid w:val="006F40D6"/>
    <w:rsid w:val="006F5654"/>
    <w:rsid w:val="006F624A"/>
    <w:rsid w:val="006F6354"/>
    <w:rsid w:val="006F675F"/>
    <w:rsid w:val="006F67F0"/>
    <w:rsid w:val="006F6CE8"/>
    <w:rsid w:val="006F77EA"/>
    <w:rsid w:val="00701329"/>
    <w:rsid w:val="00701B89"/>
    <w:rsid w:val="007047ED"/>
    <w:rsid w:val="007051C7"/>
    <w:rsid w:val="00711055"/>
    <w:rsid w:val="00712AAA"/>
    <w:rsid w:val="0071483D"/>
    <w:rsid w:val="00715EB9"/>
    <w:rsid w:val="00716492"/>
    <w:rsid w:val="007168E1"/>
    <w:rsid w:val="00716E10"/>
    <w:rsid w:val="0072084C"/>
    <w:rsid w:val="00721C56"/>
    <w:rsid w:val="00722B0F"/>
    <w:rsid w:val="007242A4"/>
    <w:rsid w:val="00725205"/>
    <w:rsid w:val="00725DBA"/>
    <w:rsid w:val="00727DCE"/>
    <w:rsid w:val="00727FE9"/>
    <w:rsid w:val="007309DB"/>
    <w:rsid w:val="00735130"/>
    <w:rsid w:val="00736006"/>
    <w:rsid w:val="00736584"/>
    <w:rsid w:val="00737C79"/>
    <w:rsid w:val="0074428A"/>
    <w:rsid w:val="00744465"/>
    <w:rsid w:val="00745160"/>
    <w:rsid w:val="00745904"/>
    <w:rsid w:val="00745F9D"/>
    <w:rsid w:val="00750468"/>
    <w:rsid w:val="00750F89"/>
    <w:rsid w:val="00751454"/>
    <w:rsid w:val="00753C7D"/>
    <w:rsid w:val="00755926"/>
    <w:rsid w:val="007573BA"/>
    <w:rsid w:val="00764DFC"/>
    <w:rsid w:val="00765569"/>
    <w:rsid w:val="00765ECF"/>
    <w:rsid w:val="007663A6"/>
    <w:rsid w:val="00766439"/>
    <w:rsid w:val="00766944"/>
    <w:rsid w:val="0077001F"/>
    <w:rsid w:val="007718EB"/>
    <w:rsid w:val="007729BE"/>
    <w:rsid w:val="0077481C"/>
    <w:rsid w:val="0077529E"/>
    <w:rsid w:val="007762A1"/>
    <w:rsid w:val="0078053D"/>
    <w:rsid w:val="00780667"/>
    <w:rsid w:val="007809C6"/>
    <w:rsid w:val="00781887"/>
    <w:rsid w:val="00781EA8"/>
    <w:rsid w:val="00783D01"/>
    <w:rsid w:val="00784020"/>
    <w:rsid w:val="00784767"/>
    <w:rsid w:val="007856F7"/>
    <w:rsid w:val="00785867"/>
    <w:rsid w:val="007866D4"/>
    <w:rsid w:val="007866ED"/>
    <w:rsid w:val="007908D6"/>
    <w:rsid w:val="0079145E"/>
    <w:rsid w:val="00791ACF"/>
    <w:rsid w:val="007923BB"/>
    <w:rsid w:val="007931E2"/>
    <w:rsid w:val="00793557"/>
    <w:rsid w:val="00793A92"/>
    <w:rsid w:val="0079513F"/>
    <w:rsid w:val="00795BB1"/>
    <w:rsid w:val="007977C1"/>
    <w:rsid w:val="007A0098"/>
    <w:rsid w:val="007A2277"/>
    <w:rsid w:val="007A265D"/>
    <w:rsid w:val="007A455D"/>
    <w:rsid w:val="007A4581"/>
    <w:rsid w:val="007A4B45"/>
    <w:rsid w:val="007A5A80"/>
    <w:rsid w:val="007A606B"/>
    <w:rsid w:val="007A61CB"/>
    <w:rsid w:val="007A7492"/>
    <w:rsid w:val="007B04F2"/>
    <w:rsid w:val="007B19A5"/>
    <w:rsid w:val="007B1E89"/>
    <w:rsid w:val="007B30B7"/>
    <w:rsid w:val="007B3BAA"/>
    <w:rsid w:val="007B4CAF"/>
    <w:rsid w:val="007B6D23"/>
    <w:rsid w:val="007B70E0"/>
    <w:rsid w:val="007B7321"/>
    <w:rsid w:val="007C05F9"/>
    <w:rsid w:val="007C1722"/>
    <w:rsid w:val="007C2077"/>
    <w:rsid w:val="007C2BF2"/>
    <w:rsid w:val="007C3188"/>
    <w:rsid w:val="007C31DF"/>
    <w:rsid w:val="007C3740"/>
    <w:rsid w:val="007C3999"/>
    <w:rsid w:val="007C6936"/>
    <w:rsid w:val="007C7C5F"/>
    <w:rsid w:val="007C7E08"/>
    <w:rsid w:val="007D10A8"/>
    <w:rsid w:val="007D3A16"/>
    <w:rsid w:val="007D3DF9"/>
    <w:rsid w:val="007D5559"/>
    <w:rsid w:val="007D61E0"/>
    <w:rsid w:val="007D6581"/>
    <w:rsid w:val="007D6CE3"/>
    <w:rsid w:val="007D75FA"/>
    <w:rsid w:val="007D7C08"/>
    <w:rsid w:val="007E0992"/>
    <w:rsid w:val="007E163D"/>
    <w:rsid w:val="007E1676"/>
    <w:rsid w:val="007E1E51"/>
    <w:rsid w:val="007E248B"/>
    <w:rsid w:val="007E2612"/>
    <w:rsid w:val="007E340E"/>
    <w:rsid w:val="007E48A3"/>
    <w:rsid w:val="007E4EF9"/>
    <w:rsid w:val="007E50E3"/>
    <w:rsid w:val="007E61FA"/>
    <w:rsid w:val="007F1525"/>
    <w:rsid w:val="007F1AF8"/>
    <w:rsid w:val="007F1E91"/>
    <w:rsid w:val="007F1EE1"/>
    <w:rsid w:val="007F2A43"/>
    <w:rsid w:val="007F2C2C"/>
    <w:rsid w:val="007F3EB3"/>
    <w:rsid w:val="007F4016"/>
    <w:rsid w:val="007F5D56"/>
    <w:rsid w:val="007F5EA0"/>
    <w:rsid w:val="007F6413"/>
    <w:rsid w:val="007F66D7"/>
    <w:rsid w:val="00801BBB"/>
    <w:rsid w:val="0080288A"/>
    <w:rsid w:val="00802C91"/>
    <w:rsid w:val="0080336E"/>
    <w:rsid w:val="00803C0F"/>
    <w:rsid w:val="00803EFA"/>
    <w:rsid w:val="00804DA4"/>
    <w:rsid w:val="0080770A"/>
    <w:rsid w:val="008103CA"/>
    <w:rsid w:val="00811451"/>
    <w:rsid w:val="00812F17"/>
    <w:rsid w:val="00814773"/>
    <w:rsid w:val="00814C40"/>
    <w:rsid w:val="00815EFC"/>
    <w:rsid w:val="0081674A"/>
    <w:rsid w:val="008209D3"/>
    <w:rsid w:val="0082449B"/>
    <w:rsid w:val="008257BA"/>
    <w:rsid w:val="00825AE3"/>
    <w:rsid w:val="00825B76"/>
    <w:rsid w:val="008266F7"/>
    <w:rsid w:val="00826AA2"/>
    <w:rsid w:val="00826FA9"/>
    <w:rsid w:val="008304B5"/>
    <w:rsid w:val="00830696"/>
    <w:rsid w:val="00830BE3"/>
    <w:rsid w:val="008334C7"/>
    <w:rsid w:val="00834E6B"/>
    <w:rsid w:val="00836353"/>
    <w:rsid w:val="0083795C"/>
    <w:rsid w:val="00840543"/>
    <w:rsid w:val="008413A6"/>
    <w:rsid w:val="00841823"/>
    <w:rsid w:val="00843D92"/>
    <w:rsid w:val="00844C48"/>
    <w:rsid w:val="00845F7B"/>
    <w:rsid w:val="00846E37"/>
    <w:rsid w:val="0085025F"/>
    <w:rsid w:val="008515C8"/>
    <w:rsid w:val="00851EA3"/>
    <w:rsid w:val="008531D6"/>
    <w:rsid w:val="00853781"/>
    <w:rsid w:val="008538A5"/>
    <w:rsid w:val="008550C5"/>
    <w:rsid w:val="00856122"/>
    <w:rsid w:val="008561A4"/>
    <w:rsid w:val="00856D83"/>
    <w:rsid w:val="00857C3F"/>
    <w:rsid w:val="00861E86"/>
    <w:rsid w:val="00862238"/>
    <w:rsid w:val="008648F4"/>
    <w:rsid w:val="00865037"/>
    <w:rsid w:val="00865714"/>
    <w:rsid w:val="0086684C"/>
    <w:rsid w:val="00866BA8"/>
    <w:rsid w:val="00870043"/>
    <w:rsid w:val="00870570"/>
    <w:rsid w:val="008714E2"/>
    <w:rsid w:val="00873681"/>
    <w:rsid w:val="008736F1"/>
    <w:rsid w:val="00874A6E"/>
    <w:rsid w:val="008763A0"/>
    <w:rsid w:val="00876472"/>
    <w:rsid w:val="008801AF"/>
    <w:rsid w:val="00880B28"/>
    <w:rsid w:val="00880F44"/>
    <w:rsid w:val="00881247"/>
    <w:rsid w:val="008829A4"/>
    <w:rsid w:val="00883D5E"/>
    <w:rsid w:val="008848FE"/>
    <w:rsid w:val="008853ED"/>
    <w:rsid w:val="00885E66"/>
    <w:rsid w:val="008871B4"/>
    <w:rsid w:val="00887242"/>
    <w:rsid w:val="0089326F"/>
    <w:rsid w:val="008946FD"/>
    <w:rsid w:val="00895268"/>
    <w:rsid w:val="00895AA3"/>
    <w:rsid w:val="00895DDC"/>
    <w:rsid w:val="0089619A"/>
    <w:rsid w:val="008961F3"/>
    <w:rsid w:val="00896D4D"/>
    <w:rsid w:val="00896FCB"/>
    <w:rsid w:val="008970B2"/>
    <w:rsid w:val="00897E68"/>
    <w:rsid w:val="008A1896"/>
    <w:rsid w:val="008A19B0"/>
    <w:rsid w:val="008A22EB"/>
    <w:rsid w:val="008A3307"/>
    <w:rsid w:val="008A7435"/>
    <w:rsid w:val="008B0F37"/>
    <w:rsid w:val="008B1BD7"/>
    <w:rsid w:val="008B2401"/>
    <w:rsid w:val="008B58B0"/>
    <w:rsid w:val="008B6271"/>
    <w:rsid w:val="008B749C"/>
    <w:rsid w:val="008B7BD4"/>
    <w:rsid w:val="008C0901"/>
    <w:rsid w:val="008C1026"/>
    <w:rsid w:val="008C1749"/>
    <w:rsid w:val="008C2163"/>
    <w:rsid w:val="008C3EAF"/>
    <w:rsid w:val="008C3EEC"/>
    <w:rsid w:val="008C5B92"/>
    <w:rsid w:val="008C66AD"/>
    <w:rsid w:val="008D062F"/>
    <w:rsid w:val="008D09C0"/>
    <w:rsid w:val="008D0C9A"/>
    <w:rsid w:val="008D0E7A"/>
    <w:rsid w:val="008D1AB2"/>
    <w:rsid w:val="008D41B8"/>
    <w:rsid w:val="008D46A3"/>
    <w:rsid w:val="008D4DC6"/>
    <w:rsid w:val="008D5488"/>
    <w:rsid w:val="008D6F23"/>
    <w:rsid w:val="008E06B3"/>
    <w:rsid w:val="008E08AC"/>
    <w:rsid w:val="008E0B6F"/>
    <w:rsid w:val="008E1198"/>
    <w:rsid w:val="008E35B8"/>
    <w:rsid w:val="008E52E9"/>
    <w:rsid w:val="008E7CD7"/>
    <w:rsid w:val="008F0345"/>
    <w:rsid w:val="008F0803"/>
    <w:rsid w:val="008F0A24"/>
    <w:rsid w:val="008F1DB4"/>
    <w:rsid w:val="008F21D2"/>
    <w:rsid w:val="008F2AD8"/>
    <w:rsid w:val="008F2B37"/>
    <w:rsid w:val="008F3A62"/>
    <w:rsid w:val="008F450D"/>
    <w:rsid w:val="008F4C81"/>
    <w:rsid w:val="008F632B"/>
    <w:rsid w:val="008F7D53"/>
    <w:rsid w:val="009005B7"/>
    <w:rsid w:val="00901D96"/>
    <w:rsid w:val="00903986"/>
    <w:rsid w:val="00903EC4"/>
    <w:rsid w:val="00904367"/>
    <w:rsid w:val="00905D9A"/>
    <w:rsid w:val="00906BB5"/>
    <w:rsid w:val="009070EE"/>
    <w:rsid w:val="00910ACA"/>
    <w:rsid w:val="00911B2E"/>
    <w:rsid w:val="009134B6"/>
    <w:rsid w:val="0091374A"/>
    <w:rsid w:val="00914149"/>
    <w:rsid w:val="00914E06"/>
    <w:rsid w:val="009150AA"/>
    <w:rsid w:val="0091738C"/>
    <w:rsid w:val="00917CE9"/>
    <w:rsid w:val="00921AF2"/>
    <w:rsid w:val="0092310E"/>
    <w:rsid w:val="00923BEB"/>
    <w:rsid w:val="00924C7C"/>
    <w:rsid w:val="009253E0"/>
    <w:rsid w:val="00925874"/>
    <w:rsid w:val="0092739C"/>
    <w:rsid w:val="009302E0"/>
    <w:rsid w:val="009333A4"/>
    <w:rsid w:val="00933B4F"/>
    <w:rsid w:val="009370F1"/>
    <w:rsid w:val="00937C42"/>
    <w:rsid w:val="00937DED"/>
    <w:rsid w:val="00940657"/>
    <w:rsid w:val="00941A53"/>
    <w:rsid w:val="00941C20"/>
    <w:rsid w:val="009424E2"/>
    <w:rsid w:val="00942A71"/>
    <w:rsid w:val="00942AD3"/>
    <w:rsid w:val="00943C61"/>
    <w:rsid w:val="0094493A"/>
    <w:rsid w:val="00944C5D"/>
    <w:rsid w:val="009454B7"/>
    <w:rsid w:val="0094638B"/>
    <w:rsid w:val="00946C50"/>
    <w:rsid w:val="009473DC"/>
    <w:rsid w:val="00947E63"/>
    <w:rsid w:val="00950A83"/>
    <w:rsid w:val="00950CAD"/>
    <w:rsid w:val="00951312"/>
    <w:rsid w:val="00954924"/>
    <w:rsid w:val="0095495B"/>
    <w:rsid w:val="00954F74"/>
    <w:rsid w:val="00955904"/>
    <w:rsid w:val="00955F07"/>
    <w:rsid w:val="009574CD"/>
    <w:rsid w:val="00961B1B"/>
    <w:rsid w:val="00961F38"/>
    <w:rsid w:val="00962B92"/>
    <w:rsid w:val="00964DCE"/>
    <w:rsid w:val="009653F4"/>
    <w:rsid w:val="009655F5"/>
    <w:rsid w:val="00965B4A"/>
    <w:rsid w:val="0096605A"/>
    <w:rsid w:val="0096644B"/>
    <w:rsid w:val="00966E30"/>
    <w:rsid w:val="009672A7"/>
    <w:rsid w:val="00967A30"/>
    <w:rsid w:val="00967F0C"/>
    <w:rsid w:val="00967F59"/>
    <w:rsid w:val="00970364"/>
    <w:rsid w:val="00971489"/>
    <w:rsid w:val="00974910"/>
    <w:rsid w:val="00974C68"/>
    <w:rsid w:val="00975C13"/>
    <w:rsid w:val="00977475"/>
    <w:rsid w:val="00977F7E"/>
    <w:rsid w:val="00980031"/>
    <w:rsid w:val="0098042E"/>
    <w:rsid w:val="00981089"/>
    <w:rsid w:val="00981892"/>
    <w:rsid w:val="009824B9"/>
    <w:rsid w:val="00982ACD"/>
    <w:rsid w:val="00984078"/>
    <w:rsid w:val="009846F3"/>
    <w:rsid w:val="00991666"/>
    <w:rsid w:val="0099266D"/>
    <w:rsid w:val="00993999"/>
    <w:rsid w:val="00993D64"/>
    <w:rsid w:val="009941AF"/>
    <w:rsid w:val="00994551"/>
    <w:rsid w:val="00994B79"/>
    <w:rsid w:val="00995114"/>
    <w:rsid w:val="0099527B"/>
    <w:rsid w:val="00995287"/>
    <w:rsid w:val="00997361"/>
    <w:rsid w:val="009A011F"/>
    <w:rsid w:val="009A0AF8"/>
    <w:rsid w:val="009A3D5A"/>
    <w:rsid w:val="009A491C"/>
    <w:rsid w:val="009A5162"/>
    <w:rsid w:val="009B1AE2"/>
    <w:rsid w:val="009B209A"/>
    <w:rsid w:val="009B3362"/>
    <w:rsid w:val="009B41FD"/>
    <w:rsid w:val="009B6FA4"/>
    <w:rsid w:val="009B727A"/>
    <w:rsid w:val="009C1E5C"/>
    <w:rsid w:val="009C2416"/>
    <w:rsid w:val="009C2E17"/>
    <w:rsid w:val="009C2FCD"/>
    <w:rsid w:val="009C4F9D"/>
    <w:rsid w:val="009C704A"/>
    <w:rsid w:val="009D0719"/>
    <w:rsid w:val="009D090F"/>
    <w:rsid w:val="009D104A"/>
    <w:rsid w:val="009D2990"/>
    <w:rsid w:val="009D2C1E"/>
    <w:rsid w:val="009D3070"/>
    <w:rsid w:val="009D4028"/>
    <w:rsid w:val="009D524D"/>
    <w:rsid w:val="009D58C5"/>
    <w:rsid w:val="009D5A50"/>
    <w:rsid w:val="009D6A0F"/>
    <w:rsid w:val="009D7C70"/>
    <w:rsid w:val="009E00AB"/>
    <w:rsid w:val="009E1EF4"/>
    <w:rsid w:val="009E438E"/>
    <w:rsid w:val="009E4EA2"/>
    <w:rsid w:val="009E57A9"/>
    <w:rsid w:val="009E6648"/>
    <w:rsid w:val="009E7512"/>
    <w:rsid w:val="009E794E"/>
    <w:rsid w:val="009E7CFE"/>
    <w:rsid w:val="009F0815"/>
    <w:rsid w:val="009F10CA"/>
    <w:rsid w:val="009F10E5"/>
    <w:rsid w:val="009F13FB"/>
    <w:rsid w:val="009F1C0A"/>
    <w:rsid w:val="009F238E"/>
    <w:rsid w:val="009F388B"/>
    <w:rsid w:val="009F553E"/>
    <w:rsid w:val="009F6D5C"/>
    <w:rsid w:val="009F6EED"/>
    <w:rsid w:val="009F7DA6"/>
    <w:rsid w:val="00A00D9D"/>
    <w:rsid w:val="00A04E9D"/>
    <w:rsid w:val="00A05A2F"/>
    <w:rsid w:val="00A076EE"/>
    <w:rsid w:val="00A104EA"/>
    <w:rsid w:val="00A11515"/>
    <w:rsid w:val="00A11FE5"/>
    <w:rsid w:val="00A12B82"/>
    <w:rsid w:val="00A13906"/>
    <w:rsid w:val="00A13A19"/>
    <w:rsid w:val="00A14B74"/>
    <w:rsid w:val="00A1546E"/>
    <w:rsid w:val="00A15491"/>
    <w:rsid w:val="00A20FE7"/>
    <w:rsid w:val="00A23622"/>
    <w:rsid w:val="00A24090"/>
    <w:rsid w:val="00A24164"/>
    <w:rsid w:val="00A245D6"/>
    <w:rsid w:val="00A24FDA"/>
    <w:rsid w:val="00A25892"/>
    <w:rsid w:val="00A30EBE"/>
    <w:rsid w:val="00A31040"/>
    <w:rsid w:val="00A312C6"/>
    <w:rsid w:val="00A316F5"/>
    <w:rsid w:val="00A35471"/>
    <w:rsid w:val="00A36A31"/>
    <w:rsid w:val="00A36FA8"/>
    <w:rsid w:val="00A37838"/>
    <w:rsid w:val="00A379BD"/>
    <w:rsid w:val="00A41337"/>
    <w:rsid w:val="00A42A0D"/>
    <w:rsid w:val="00A42B88"/>
    <w:rsid w:val="00A43192"/>
    <w:rsid w:val="00A43F1B"/>
    <w:rsid w:val="00A464B5"/>
    <w:rsid w:val="00A51F42"/>
    <w:rsid w:val="00A5357A"/>
    <w:rsid w:val="00A54B6E"/>
    <w:rsid w:val="00A54F2D"/>
    <w:rsid w:val="00A6048A"/>
    <w:rsid w:val="00A6099D"/>
    <w:rsid w:val="00A64545"/>
    <w:rsid w:val="00A65518"/>
    <w:rsid w:val="00A65EC7"/>
    <w:rsid w:val="00A66201"/>
    <w:rsid w:val="00A66A27"/>
    <w:rsid w:val="00A67FDF"/>
    <w:rsid w:val="00A701C4"/>
    <w:rsid w:val="00A70810"/>
    <w:rsid w:val="00A70BE7"/>
    <w:rsid w:val="00A70E40"/>
    <w:rsid w:val="00A70E6B"/>
    <w:rsid w:val="00A710AA"/>
    <w:rsid w:val="00A724F2"/>
    <w:rsid w:val="00A7296B"/>
    <w:rsid w:val="00A7372D"/>
    <w:rsid w:val="00A73AB6"/>
    <w:rsid w:val="00A74D4F"/>
    <w:rsid w:val="00A75301"/>
    <w:rsid w:val="00A75EAD"/>
    <w:rsid w:val="00A7671A"/>
    <w:rsid w:val="00A76EC8"/>
    <w:rsid w:val="00A80248"/>
    <w:rsid w:val="00A8185A"/>
    <w:rsid w:val="00A8361F"/>
    <w:rsid w:val="00A8615D"/>
    <w:rsid w:val="00A874AA"/>
    <w:rsid w:val="00A8754A"/>
    <w:rsid w:val="00A879AF"/>
    <w:rsid w:val="00A92D91"/>
    <w:rsid w:val="00A93006"/>
    <w:rsid w:val="00A931DC"/>
    <w:rsid w:val="00A93676"/>
    <w:rsid w:val="00A94F1F"/>
    <w:rsid w:val="00A96F70"/>
    <w:rsid w:val="00A97D9F"/>
    <w:rsid w:val="00AA17DD"/>
    <w:rsid w:val="00AA1ADD"/>
    <w:rsid w:val="00AA2BA5"/>
    <w:rsid w:val="00AA2EF7"/>
    <w:rsid w:val="00AA323E"/>
    <w:rsid w:val="00AA49C4"/>
    <w:rsid w:val="00AA4E22"/>
    <w:rsid w:val="00AA59B0"/>
    <w:rsid w:val="00AA5FE8"/>
    <w:rsid w:val="00AA7105"/>
    <w:rsid w:val="00AA715B"/>
    <w:rsid w:val="00AA7B4F"/>
    <w:rsid w:val="00AB1ED8"/>
    <w:rsid w:val="00AB2274"/>
    <w:rsid w:val="00AB2E73"/>
    <w:rsid w:val="00AB3079"/>
    <w:rsid w:val="00AB406B"/>
    <w:rsid w:val="00AB4FEE"/>
    <w:rsid w:val="00AB5D6C"/>
    <w:rsid w:val="00AB6E7B"/>
    <w:rsid w:val="00AC0364"/>
    <w:rsid w:val="00AC0615"/>
    <w:rsid w:val="00AC201B"/>
    <w:rsid w:val="00AC2493"/>
    <w:rsid w:val="00AC2650"/>
    <w:rsid w:val="00AC2658"/>
    <w:rsid w:val="00AC367F"/>
    <w:rsid w:val="00AC4894"/>
    <w:rsid w:val="00AC5EE7"/>
    <w:rsid w:val="00AC6306"/>
    <w:rsid w:val="00AC6F1F"/>
    <w:rsid w:val="00AC734C"/>
    <w:rsid w:val="00AC7992"/>
    <w:rsid w:val="00AD0239"/>
    <w:rsid w:val="00AD0A60"/>
    <w:rsid w:val="00AD1DE5"/>
    <w:rsid w:val="00AD267E"/>
    <w:rsid w:val="00AD4E24"/>
    <w:rsid w:val="00AD5837"/>
    <w:rsid w:val="00AD6CC3"/>
    <w:rsid w:val="00AE0ADB"/>
    <w:rsid w:val="00AE17BE"/>
    <w:rsid w:val="00AE1932"/>
    <w:rsid w:val="00AE2762"/>
    <w:rsid w:val="00AE2AE1"/>
    <w:rsid w:val="00AE2CCE"/>
    <w:rsid w:val="00AE31F9"/>
    <w:rsid w:val="00AE38D3"/>
    <w:rsid w:val="00AE5D04"/>
    <w:rsid w:val="00AE5D67"/>
    <w:rsid w:val="00AE5DF6"/>
    <w:rsid w:val="00AE6DDF"/>
    <w:rsid w:val="00AF04C7"/>
    <w:rsid w:val="00AF1473"/>
    <w:rsid w:val="00AF19CE"/>
    <w:rsid w:val="00AF2E49"/>
    <w:rsid w:val="00AF3ACD"/>
    <w:rsid w:val="00AF3D6D"/>
    <w:rsid w:val="00AF49F7"/>
    <w:rsid w:val="00AF52AF"/>
    <w:rsid w:val="00AF5645"/>
    <w:rsid w:val="00AF5762"/>
    <w:rsid w:val="00AF6568"/>
    <w:rsid w:val="00AF6A85"/>
    <w:rsid w:val="00AF6C6E"/>
    <w:rsid w:val="00AF6C7A"/>
    <w:rsid w:val="00AF7942"/>
    <w:rsid w:val="00AF7BE6"/>
    <w:rsid w:val="00B0000C"/>
    <w:rsid w:val="00B01F9A"/>
    <w:rsid w:val="00B1154E"/>
    <w:rsid w:val="00B13FAD"/>
    <w:rsid w:val="00B150A7"/>
    <w:rsid w:val="00B1660C"/>
    <w:rsid w:val="00B16EEB"/>
    <w:rsid w:val="00B225A9"/>
    <w:rsid w:val="00B22F4B"/>
    <w:rsid w:val="00B2368B"/>
    <w:rsid w:val="00B30110"/>
    <w:rsid w:val="00B3056E"/>
    <w:rsid w:val="00B312A7"/>
    <w:rsid w:val="00B31B90"/>
    <w:rsid w:val="00B31DA7"/>
    <w:rsid w:val="00B31FB9"/>
    <w:rsid w:val="00B328FE"/>
    <w:rsid w:val="00B33312"/>
    <w:rsid w:val="00B34F3B"/>
    <w:rsid w:val="00B35BF1"/>
    <w:rsid w:val="00B366CA"/>
    <w:rsid w:val="00B370E1"/>
    <w:rsid w:val="00B409A9"/>
    <w:rsid w:val="00B41078"/>
    <w:rsid w:val="00B42EB7"/>
    <w:rsid w:val="00B446C8"/>
    <w:rsid w:val="00B459E8"/>
    <w:rsid w:val="00B4653C"/>
    <w:rsid w:val="00B47095"/>
    <w:rsid w:val="00B4740D"/>
    <w:rsid w:val="00B47770"/>
    <w:rsid w:val="00B4797E"/>
    <w:rsid w:val="00B51A41"/>
    <w:rsid w:val="00B51C38"/>
    <w:rsid w:val="00B521C2"/>
    <w:rsid w:val="00B52356"/>
    <w:rsid w:val="00B5240E"/>
    <w:rsid w:val="00B5299A"/>
    <w:rsid w:val="00B5342B"/>
    <w:rsid w:val="00B5368D"/>
    <w:rsid w:val="00B54677"/>
    <w:rsid w:val="00B60416"/>
    <w:rsid w:val="00B60580"/>
    <w:rsid w:val="00B62A2F"/>
    <w:rsid w:val="00B63EEE"/>
    <w:rsid w:val="00B671D7"/>
    <w:rsid w:val="00B70EF5"/>
    <w:rsid w:val="00B715E4"/>
    <w:rsid w:val="00B71F57"/>
    <w:rsid w:val="00B72361"/>
    <w:rsid w:val="00B72C30"/>
    <w:rsid w:val="00B72EFE"/>
    <w:rsid w:val="00B73518"/>
    <w:rsid w:val="00B73744"/>
    <w:rsid w:val="00B74545"/>
    <w:rsid w:val="00B7583A"/>
    <w:rsid w:val="00B75E43"/>
    <w:rsid w:val="00B80952"/>
    <w:rsid w:val="00B81243"/>
    <w:rsid w:val="00B81756"/>
    <w:rsid w:val="00B82262"/>
    <w:rsid w:val="00B82F6D"/>
    <w:rsid w:val="00B83B7B"/>
    <w:rsid w:val="00B84DEB"/>
    <w:rsid w:val="00B8529B"/>
    <w:rsid w:val="00B86DB6"/>
    <w:rsid w:val="00B87018"/>
    <w:rsid w:val="00B87A34"/>
    <w:rsid w:val="00B918FC"/>
    <w:rsid w:val="00B91EE5"/>
    <w:rsid w:val="00B92074"/>
    <w:rsid w:val="00B920B5"/>
    <w:rsid w:val="00B935E6"/>
    <w:rsid w:val="00B93D15"/>
    <w:rsid w:val="00B941D0"/>
    <w:rsid w:val="00B949EE"/>
    <w:rsid w:val="00B965F9"/>
    <w:rsid w:val="00B976CC"/>
    <w:rsid w:val="00BA087E"/>
    <w:rsid w:val="00BA192F"/>
    <w:rsid w:val="00BA1D36"/>
    <w:rsid w:val="00BA2983"/>
    <w:rsid w:val="00BA524F"/>
    <w:rsid w:val="00BA5CE7"/>
    <w:rsid w:val="00BA5F82"/>
    <w:rsid w:val="00BA690A"/>
    <w:rsid w:val="00BB04E1"/>
    <w:rsid w:val="00BB0EAD"/>
    <w:rsid w:val="00BB6223"/>
    <w:rsid w:val="00BB7DE3"/>
    <w:rsid w:val="00BC0EBA"/>
    <w:rsid w:val="00BC159B"/>
    <w:rsid w:val="00BC1B5D"/>
    <w:rsid w:val="00BC25F4"/>
    <w:rsid w:val="00BC29FF"/>
    <w:rsid w:val="00BC34F8"/>
    <w:rsid w:val="00BC38EE"/>
    <w:rsid w:val="00BC6721"/>
    <w:rsid w:val="00BC7374"/>
    <w:rsid w:val="00BD0007"/>
    <w:rsid w:val="00BD030A"/>
    <w:rsid w:val="00BD0BEA"/>
    <w:rsid w:val="00BD15BD"/>
    <w:rsid w:val="00BD3D21"/>
    <w:rsid w:val="00BD52FD"/>
    <w:rsid w:val="00BD5E19"/>
    <w:rsid w:val="00BD63DB"/>
    <w:rsid w:val="00BD77F1"/>
    <w:rsid w:val="00BE043B"/>
    <w:rsid w:val="00BE1344"/>
    <w:rsid w:val="00BE1776"/>
    <w:rsid w:val="00BE21D8"/>
    <w:rsid w:val="00BE23B3"/>
    <w:rsid w:val="00BE2624"/>
    <w:rsid w:val="00BE5144"/>
    <w:rsid w:val="00BE5EEA"/>
    <w:rsid w:val="00BF0BE8"/>
    <w:rsid w:val="00BF13E0"/>
    <w:rsid w:val="00BF1EB7"/>
    <w:rsid w:val="00BF235C"/>
    <w:rsid w:val="00BF32EA"/>
    <w:rsid w:val="00BF3ABF"/>
    <w:rsid w:val="00BF43D1"/>
    <w:rsid w:val="00BF5651"/>
    <w:rsid w:val="00BF5A80"/>
    <w:rsid w:val="00BF5AA1"/>
    <w:rsid w:val="00C00042"/>
    <w:rsid w:val="00C0020E"/>
    <w:rsid w:val="00C009CB"/>
    <w:rsid w:val="00C01756"/>
    <w:rsid w:val="00C01ABF"/>
    <w:rsid w:val="00C02404"/>
    <w:rsid w:val="00C03CAA"/>
    <w:rsid w:val="00C04984"/>
    <w:rsid w:val="00C060C7"/>
    <w:rsid w:val="00C0647B"/>
    <w:rsid w:val="00C066CE"/>
    <w:rsid w:val="00C10192"/>
    <w:rsid w:val="00C10339"/>
    <w:rsid w:val="00C11632"/>
    <w:rsid w:val="00C1182A"/>
    <w:rsid w:val="00C1215E"/>
    <w:rsid w:val="00C134FF"/>
    <w:rsid w:val="00C14BEC"/>
    <w:rsid w:val="00C1572B"/>
    <w:rsid w:val="00C15C5B"/>
    <w:rsid w:val="00C204B3"/>
    <w:rsid w:val="00C208E6"/>
    <w:rsid w:val="00C20B9C"/>
    <w:rsid w:val="00C2118E"/>
    <w:rsid w:val="00C21B57"/>
    <w:rsid w:val="00C225C3"/>
    <w:rsid w:val="00C2321D"/>
    <w:rsid w:val="00C23428"/>
    <w:rsid w:val="00C2444F"/>
    <w:rsid w:val="00C24ED0"/>
    <w:rsid w:val="00C25766"/>
    <w:rsid w:val="00C264C1"/>
    <w:rsid w:val="00C2739F"/>
    <w:rsid w:val="00C3045F"/>
    <w:rsid w:val="00C31B41"/>
    <w:rsid w:val="00C32929"/>
    <w:rsid w:val="00C339F9"/>
    <w:rsid w:val="00C34ACB"/>
    <w:rsid w:val="00C35647"/>
    <w:rsid w:val="00C36FE7"/>
    <w:rsid w:val="00C37287"/>
    <w:rsid w:val="00C40B07"/>
    <w:rsid w:val="00C41728"/>
    <w:rsid w:val="00C42464"/>
    <w:rsid w:val="00C42B66"/>
    <w:rsid w:val="00C45D18"/>
    <w:rsid w:val="00C465D3"/>
    <w:rsid w:val="00C50B22"/>
    <w:rsid w:val="00C50FB7"/>
    <w:rsid w:val="00C51F03"/>
    <w:rsid w:val="00C52633"/>
    <w:rsid w:val="00C52C1C"/>
    <w:rsid w:val="00C5486D"/>
    <w:rsid w:val="00C54E69"/>
    <w:rsid w:val="00C56320"/>
    <w:rsid w:val="00C56AA5"/>
    <w:rsid w:val="00C57A48"/>
    <w:rsid w:val="00C57ACB"/>
    <w:rsid w:val="00C57B39"/>
    <w:rsid w:val="00C604C3"/>
    <w:rsid w:val="00C60637"/>
    <w:rsid w:val="00C60859"/>
    <w:rsid w:val="00C60E0B"/>
    <w:rsid w:val="00C60E68"/>
    <w:rsid w:val="00C61118"/>
    <w:rsid w:val="00C62BD4"/>
    <w:rsid w:val="00C633D6"/>
    <w:rsid w:val="00C6465D"/>
    <w:rsid w:val="00C64C37"/>
    <w:rsid w:val="00C6731B"/>
    <w:rsid w:val="00C708B3"/>
    <w:rsid w:val="00C70CFF"/>
    <w:rsid w:val="00C72221"/>
    <w:rsid w:val="00C734FE"/>
    <w:rsid w:val="00C737DB"/>
    <w:rsid w:val="00C7491F"/>
    <w:rsid w:val="00C74A67"/>
    <w:rsid w:val="00C754DE"/>
    <w:rsid w:val="00C76FC4"/>
    <w:rsid w:val="00C80615"/>
    <w:rsid w:val="00C809C2"/>
    <w:rsid w:val="00C8179B"/>
    <w:rsid w:val="00C828DA"/>
    <w:rsid w:val="00C82A97"/>
    <w:rsid w:val="00C837D6"/>
    <w:rsid w:val="00C85758"/>
    <w:rsid w:val="00C85996"/>
    <w:rsid w:val="00C86981"/>
    <w:rsid w:val="00C8767A"/>
    <w:rsid w:val="00C905B6"/>
    <w:rsid w:val="00C92128"/>
    <w:rsid w:val="00C942B9"/>
    <w:rsid w:val="00C94D4A"/>
    <w:rsid w:val="00C96BBF"/>
    <w:rsid w:val="00C972D5"/>
    <w:rsid w:val="00CA1E06"/>
    <w:rsid w:val="00CA3A10"/>
    <w:rsid w:val="00CA3CDA"/>
    <w:rsid w:val="00CA42BC"/>
    <w:rsid w:val="00CA5428"/>
    <w:rsid w:val="00CA7A33"/>
    <w:rsid w:val="00CB0BB7"/>
    <w:rsid w:val="00CB0EBF"/>
    <w:rsid w:val="00CB2681"/>
    <w:rsid w:val="00CB2EAA"/>
    <w:rsid w:val="00CB2FF3"/>
    <w:rsid w:val="00CB50A0"/>
    <w:rsid w:val="00CB6454"/>
    <w:rsid w:val="00CC1349"/>
    <w:rsid w:val="00CC1EA5"/>
    <w:rsid w:val="00CC2EF6"/>
    <w:rsid w:val="00CC4269"/>
    <w:rsid w:val="00CC553C"/>
    <w:rsid w:val="00CC5DD5"/>
    <w:rsid w:val="00CC635B"/>
    <w:rsid w:val="00CC6B6F"/>
    <w:rsid w:val="00CC6D86"/>
    <w:rsid w:val="00CC6F67"/>
    <w:rsid w:val="00CC72C4"/>
    <w:rsid w:val="00CC7701"/>
    <w:rsid w:val="00CC77A1"/>
    <w:rsid w:val="00CC79F6"/>
    <w:rsid w:val="00CD002C"/>
    <w:rsid w:val="00CD147A"/>
    <w:rsid w:val="00CD1C20"/>
    <w:rsid w:val="00CD3611"/>
    <w:rsid w:val="00CD5AA0"/>
    <w:rsid w:val="00CD5C4F"/>
    <w:rsid w:val="00CD6969"/>
    <w:rsid w:val="00CD7379"/>
    <w:rsid w:val="00CD74D3"/>
    <w:rsid w:val="00CE170B"/>
    <w:rsid w:val="00CE2651"/>
    <w:rsid w:val="00CE3007"/>
    <w:rsid w:val="00CE322C"/>
    <w:rsid w:val="00CE4780"/>
    <w:rsid w:val="00CE6F39"/>
    <w:rsid w:val="00CE7D07"/>
    <w:rsid w:val="00CE7E2F"/>
    <w:rsid w:val="00CE7FE1"/>
    <w:rsid w:val="00CF03EC"/>
    <w:rsid w:val="00CF0494"/>
    <w:rsid w:val="00CF0B61"/>
    <w:rsid w:val="00CF0CDF"/>
    <w:rsid w:val="00CF37A6"/>
    <w:rsid w:val="00CF4414"/>
    <w:rsid w:val="00CF5EA6"/>
    <w:rsid w:val="00CF78CE"/>
    <w:rsid w:val="00D00DAA"/>
    <w:rsid w:val="00D00F67"/>
    <w:rsid w:val="00D019AB"/>
    <w:rsid w:val="00D02261"/>
    <w:rsid w:val="00D03DA0"/>
    <w:rsid w:val="00D0406A"/>
    <w:rsid w:val="00D04310"/>
    <w:rsid w:val="00D044D6"/>
    <w:rsid w:val="00D0480D"/>
    <w:rsid w:val="00D05724"/>
    <w:rsid w:val="00D05D55"/>
    <w:rsid w:val="00D05E9A"/>
    <w:rsid w:val="00D06AB1"/>
    <w:rsid w:val="00D10B9B"/>
    <w:rsid w:val="00D15831"/>
    <w:rsid w:val="00D15DE0"/>
    <w:rsid w:val="00D16D33"/>
    <w:rsid w:val="00D17003"/>
    <w:rsid w:val="00D250F3"/>
    <w:rsid w:val="00D25D10"/>
    <w:rsid w:val="00D269F4"/>
    <w:rsid w:val="00D26FD4"/>
    <w:rsid w:val="00D34A75"/>
    <w:rsid w:val="00D362CA"/>
    <w:rsid w:val="00D427F6"/>
    <w:rsid w:val="00D43F39"/>
    <w:rsid w:val="00D44464"/>
    <w:rsid w:val="00D44700"/>
    <w:rsid w:val="00D44E26"/>
    <w:rsid w:val="00D47094"/>
    <w:rsid w:val="00D470BE"/>
    <w:rsid w:val="00D47E53"/>
    <w:rsid w:val="00D50F42"/>
    <w:rsid w:val="00D512F7"/>
    <w:rsid w:val="00D51882"/>
    <w:rsid w:val="00D52080"/>
    <w:rsid w:val="00D542D1"/>
    <w:rsid w:val="00D553E4"/>
    <w:rsid w:val="00D55746"/>
    <w:rsid w:val="00D558ED"/>
    <w:rsid w:val="00D56B8B"/>
    <w:rsid w:val="00D57843"/>
    <w:rsid w:val="00D60AE1"/>
    <w:rsid w:val="00D62BA8"/>
    <w:rsid w:val="00D62C7B"/>
    <w:rsid w:val="00D63687"/>
    <w:rsid w:val="00D63822"/>
    <w:rsid w:val="00D65E5B"/>
    <w:rsid w:val="00D70B1C"/>
    <w:rsid w:val="00D70E0A"/>
    <w:rsid w:val="00D71707"/>
    <w:rsid w:val="00D726BD"/>
    <w:rsid w:val="00D729DD"/>
    <w:rsid w:val="00D74103"/>
    <w:rsid w:val="00D74A27"/>
    <w:rsid w:val="00D75D76"/>
    <w:rsid w:val="00D76FD5"/>
    <w:rsid w:val="00D77FF7"/>
    <w:rsid w:val="00D8075D"/>
    <w:rsid w:val="00D80802"/>
    <w:rsid w:val="00D81799"/>
    <w:rsid w:val="00D81AAE"/>
    <w:rsid w:val="00D82FC4"/>
    <w:rsid w:val="00D8431E"/>
    <w:rsid w:val="00D8475D"/>
    <w:rsid w:val="00D85F87"/>
    <w:rsid w:val="00D85FA7"/>
    <w:rsid w:val="00D864F2"/>
    <w:rsid w:val="00D87D9F"/>
    <w:rsid w:val="00D87F5B"/>
    <w:rsid w:val="00D905B4"/>
    <w:rsid w:val="00D90EB7"/>
    <w:rsid w:val="00D921F1"/>
    <w:rsid w:val="00D928A1"/>
    <w:rsid w:val="00DA0302"/>
    <w:rsid w:val="00DA0D35"/>
    <w:rsid w:val="00DA2184"/>
    <w:rsid w:val="00DA3116"/>
    <w:rsid w:val="00DA3B86"/>
    <w:rsid w:val="00DA6660"/>
    <w:rsid w:val="00DA6F2D"/>
    <w:rsid w:val="00DB0222"/>
    <w:rsid w:val="00DB0B3A"/>
    <w:rsid w:val="00DB1521"/>
    <w:rsid w:val="00DB1550"/>
    <w:rsid w:val="00DB1CC7"/>
    <w:rsid w:val="00DB1FC0"/>
    <w:rsid w:val="00DB2475"/>
    <w:rsid w:val="00DB4638"/>
    <w:rsid w:val="00DB4E70"/>
    <w:rsid w:val="00DB4E9F"/>
    <w:rsid w:val="00DB5B94"/>
    <w:rsid w:val="00DB5BD0"/>
    <w:rsid w:val="00DB6E80"/>
    <w:rsid w:val="00DB7255"/>
    <w:rsid w:val="00DB7A7D"/>
    <w:rsid w:val="00DC0B6E"/>
    <w:rsid w:val="00DC1F16"/>
    <w:rsid w:val="00DC353B"/>
    <w:rsid w:val="00DC4DDA"/>
    <w:rsid w:val="00DC590D"/>
    <w:rsid w:val="00DC5E46"/>
    <w:rsid w:val="00DC60D3"/>
    <w:rsid w:val="00DC63B9"/>
    <w:rsid w:val="00DC6983"/>
    <w:rsid w:val="00DC72BE"/>
    <w:rsid w:val="00DC783C"/>
    <w:rsid w:val="00DD3736"/>
    <w:rsid w:val="00DD434F"/>
    <w:rsid w:val="00DD4608"/>
    <w:rsid w:val="00DD50FC"/>
    <w:rsid w:val="00DD5906"/>
    <w:rsid w:val="00DD5C24"/>
    <w:rsid w:val="00DD72DB"/>
    <w:rsid w:val="00DE08C1"/>
    <w:rsid w:val="00DE0B0E"/>
    <w:rsid w:val="00DE0D8F"/>
    <w:rsid w:val="00DE0F81"/>
    <w:rsid w:val="00DE1D5A"/>
    <w:rsid w:val="00DE2081"/>
    <w:rsid w:val="00DE2E23"/>
    <w:rsid w:val="00DE3D65"/>
    <w:rsid w:val="00DE3E10"/>
    <w:rsid w:val="00DE40D2"/>
    <w:rsid w:val="00DF0929"/>
    <w:rsid w:val="00DF0AEF"/>
    <w:rsid w:val="00DF1B3F"/>
    <w:rsid w:val="00DF206A"/>
    <w:rsid w:val="00DF2150"/>
    <w:rsid w:val="00DF2765"/>
    <w:rsid w:val="00DF3150"/>
    <w:rsid w:val="00DF5D58"/>
    <w:rsid w:val="00DF6288"/>
    <w:rsid w:val="00DF6A0D"/>
    <w:rsid w:val="00DF6E36"/>
    <w:rsid w:val="00DF732E"/>
    <w:rsid w:val="00DF7541"/>
    <w:rsid w:val="00E00192"/>
    <w:rsid w:val="00E007AA"/>
    <w:rsid w:val="00E00E77"/>
    <w:rsid w:val="00E02096"/>
    <w:rsid w:val="00E02A7B"/>
    <w:rsid w:val="00E04060"/>
    <w:rsid w:val="00E04498"/>
    <w:rsid w:val="00E045E9"/>
    <w:rsid w:val="00E04F85"/>
    <w:rsid w:val="00E05996"/>
    <w:rsid w:val="00E07841"/>
    <w:rsid w:val="00E07A77"/>
    <w:rsid w:val="00E07F2B"/>
    <w:rsid w:val="00E108ED"/>
    <w:rsid w:val="00E10DAA"/>
    <w:rsid w:val="00E1166E"/>
    <w:rsid w:val="00E11688"/>
    <w:rsid w:val="00E1400C"/>
    <w:rsid w:val="00E1433F"/>
    <w:rsid w:val="00E14A04"/>
    <w:rsid w:val="00E14F0D"/>
    <w:rsid w:val="00E14F14"/>
    <w:rsid w:val="00E17487"/>
    <w:rsid w:val="00E20572"/>
    <w:rsid w:val="00E21272"/>
    <w:rsid w:val="00E217AB"/>
    <w:rsid w:val="00E22706"/>
    <w:rsid w:val="00E248D2"/>
    <w:rsid w:val="00E27817"/>
    <w:rsid w:val="00E32ED0"/>
    <w:rsid w:val="00E33086"/>
    <w:rsid w:val="00E33B24"/>
    <w:rsid w:val="00E36111"/>
    <w:rsid w:val="00E36C22"/>
    <w:rsid w:val="00E4108C"/>
    <w:rsid w:val="00E41417"/>
    <w:rsid w:val="00E41A30"/>
    <w:rsid w:val="00E42304"/>
    <w:rsid w:val="00E429E7"/>
    <w:rsid w:val="00E42B1D"/>
    <w:rsid w:val="00E432BD"/>
    <w:rsid w:val="00E43C27"/>
    <w:rsid w:val="00E44621"/>
    <w:rsid w:val="00E44C87"/>
    <w:rsid w:val="00E45436"/>
    <w:rsid w:val="00E47097"/>
    <w:rsid w:val="00E50850"/>
    <w:rsid w:val="00E523D1"/>
    <w:rsid w:val="00E57CE7"/>
    <w:rsid w:val="00E60B4B"/>
    <w:rsid w:val="00E616BC"/>
    <w:rsid w:val="00E643B6"/>
    <w:rsid w:val="00E67662"/>
    <w:rsid w:val="00E70B7E"/>
    <w:rsid w:val="00E72952"/>
    <w:rsid w:val="00E763CD"/>
    <w:rsid w:val="00E76F89"/>
    <w:rsid w:val="00E810E6"/>
    <w:rsid w:val="00E81E70"/>
    <w:rsid w:val="00E846BA"/>
    <w:rsid w:val="00E85C07"/>
    <w:rsid w:val="00E90C3D"/>
    <w:rsid w:val="00E914F3"/>
    <w:rsid w:val="00E92A34"/>
    <w:rsid w:val="00E96084"/>
    <w:rsid w:val="00E96284"/>
    <w:rsid w:val="00EA1D5D"/>
    <w:rsid w:val="00EA351B"/>
    <w:rsid w:val="00EA3DD6"/>
    <w:rsid w:val="00EA4387"/>
    <w:rsid w:val="00EA464D"/>
    <w:rsid w:val="00EA69FD"/>
    <w:rsid w:val="00EA7311"/>
    <w:rsid w:val="00EA79FD"/>
    <w:rsid w:val="00EB0216"/>
    <w:rsid w:val="00EB122B"/>
    <w:rsid w:val="00EB186F"/>
    <w:rsid w:val="00EB1BD0"/>
    <w:rsid w:val="00EB3915"/>
    <w:rsid w:val="00EB4A20"/>
    <w:rsid w:val="00EB712A"/>
    <w:rsid w:val="00EB72D7"/>
    <w:rsid w:val="00EB7E74"/>
    <w:rsid w:val="00EB7F41"/>
    <w:rsid w:val="00EC0B6F"/>
    <w:rsid w:val="00EC3D7A"/>
    <w:rsid w:val="00EC4F93"/>
    <w:rsid w:val="00EC573C"/>
    <w:rsid w:val="00EC6C10"/>
    <w:rsid w:val="00EC6D45"/>
    <w:rsid w:val="00EC7538"/>
    <w:rsid w:val="00EC7592"/>
    <w:rsid w:val="00EC7E57"/>
    <w:rsid w:val="00EC7F11"/>
    <w:rsid w:val="00ED0019"/>
    <w:rsid w:val="00ED07B4"/>
    <w:rsid w:val="00ED256E"/>
    <w:rsid w:val="00ED288C"/>
    <w:rsid w:val="00ED35AB"/>
    <w:rsid w:val="00ED3B83"/>
    <w:rsid w:val="00ED3F00"/>
    <w:rsid w:val="00ED4B57"/>
    <w:rsid w:val="00ED4FD8"/>
    <w:rsid w:val="00ED6176"/>
    <w:rsid w:val="00EE1017"/>
    <w:rsid w:val="00EE130F"/>
    <w:rsid w:val="00EE144A"/>
    <w:rsid w:val="00EE269C"/>
    <w:rsid w:val="00EE358D"/>
    <w:rsid w:val="00EE3901"/>
    <w:rsid w:val="00EE6070"/>
    <w:rsid w:val="00EE707E"/>
    <w:rsid w:val="00EE76B4"/>
    <w:rsid w:val="00EE7908"/>
    <w:rsid w:val="00EF1051"/>
    <w:rsid w:val="00EF1369"/>
    <w:rsid w:val="00EF16D2"/>
    <w:rsid w:val="00EF464A"/>
    <w:rsid w:val="00F00306"/>
    <w:rsid w:val="00F02624"/>
    <w:rsid w:val="00F037CC"/>
    <w:rsid w:val="00F04045"/>
    <w:rsid w:val="00F043BD"/>
    <w:rsid w:val="00F06E1C"/>
    <w:rsid w:val="00F106A9"/>
    <w:rsid w:val="00F121A3"/>
    <w:rsid w:val="00F1254A"/>
    <w:rsid w:val="00F12FDE"/>
    <w:rsid w:val="00F14A9B"/>
    <w:rsid w:val="00F14D10"/>
    <w:rsid w:val="00F157BF"/>
    <w:rsid w:val="00F15B8A"/>
    <w:rsid w:val="00F205CA"/>
    <w:rsid w:val="00F21633"/>
    <w:rsid w:val="00F2230D"/>
    <w:rsid w:val="00F2306C"/>
    <w:rsid w:val="00F23C60"/>
    <w:rsid w:val="00F2413D"/>
    <w:rsid w:val="00F25565"/>
    <w:rsid w:val="00F262FC"/>
    <w:rsid w:val="00F2689F"/>
    <w:rsid w:val="00F27545"/>
    <w:rsid w:val="00F302F2"/>
    <w:rsid w:val="00F321BA"/>
    <w:rsid w:val="00F32CC8"/>
    <w:rsid w:val="00F330F5"/>
    <w:rsid w:val="00F33225"/>
    <w:rsid w:val="00F347CE"/>
    <w:rsid w:val="00F354E0"/>
    <w:rsid w:val="00F35A54"/>
    <w:rsid w:val="00F364B2"/>
    <w:rsid w:val="00F37636"/>
    <w:rsid w:val="00F37AC4"/>
    <w:rsid w:val="00F40AFF"/>
    <w:rsid w:val="00F416ED"/>
    <w:rsid w:val="00F41E15"/>
    <w:rsid w:val="00F42341"/>
    <w:rsid w:val="00F429A5"/>
    <w:rsid w:val="00F4591A"/>
    <w:rsid w:val="00F45AD9"/>
    <w:rsid w:val="00F469C4"/>
    <w:rsid w:val="00F46E8C"/>
    <w:rsid w:val="00F47A09"/>
    <w:rsid w:val="00F47D60"/>
    <w:rsid w:val="00F512A1"/>
    <w:rsid w:val="00F51B47"/>
    <w:rsid w:val="00F51C7F"/>
    <w:rsid w:val="00F52485"/>
    <w:rsid w:val="00F540BF"/>
    <w:rsid w:val="00F544DA"/>
    <w:rsid w:val="00F54CCA"/>
    <w:rsid w:val="00F55A53"/>
    <w:rsid w:val="00F5637C"/>
    <w:rsid w:val="00F56C01"/>
    <w:rsid w:val="00F56E1C"/>
    <w:rsid w:val="00F60A79"/>
    <w:rsid w:val="00F614C4"/>
    <w:rsid w:val="00F62732"/>
    <w:rsid w:val="00F627BF"/>
    <w:rsid w:val="00F64A49"/>
    <w:rsid w:val="00F65B68"/>
    <w:rsid w:val="00F707F4"/>
    <w:rsid w:val="00F70D3F"/>
    <w:rsid w:val="00F71135"/>
    <w:rsid w:val="00F71379"/>
    <w:rsid w:val="00F713C7"/>
    <w:rsid w:val="00F7226A"/>
    <w:rsid w:val="00F761A3"/>
    <w:rsid w:val="00F771D7"/>
    <w:rsid w:val="00F77776"/>
    <w:rsid w:val="00F77A6A"/>
    <w:rsid w:val="00F8053C"/>
    <w:rsid w:val="00F80CAE"/>
    <w:rsid w:val="00F81E04"/>
    <w:rsid w:val="00F820F8"/>
    <w:rsid w:val="00F82360"/>
    <w:rsid w:val="00F82C4C"/>
    <w:rsid w:val="00F82DBC"/>
    <w:rsid w:val="00F84561"/>
    <w:rsid w:val="00F85CD9"/>
    <w:rsid w:val="00F86934"/>
    <w:rsid w:val="00F87C9F"/>
    <w:rsid w:val="00F90514"/>
    <w:rsid w:val="00F91CB6"/>
    <w:rsid w:val="00F91CFF"/>
    <w:rsid w:val="00F92C2F"/>
    <w:rsid w:val="00F93164"/>
    <w:rsid w:val="00F94CAE"/>
    <w:rsid w:val="00F967B2"/>
    <w:rsid w:val="00F96E95"/>
    <w:rsid w:val="00FA03F4"/>
    <w:rsid w:val="00FA12EC"/>
    <w:rsid w:val="00FA23FB"/>
    <w:rsid w:val="00FA2EC9"/>
    <w:rsid w:val="00FA62F4"/>
    <w:rsid w:val="00FB0CE4"/>
    <w:rsid w:val="00FB0E33"/>
    <w:rsid w:val="00FB36B2"/>
    <w:rsid w:val="00FB44AF"/>
    <w:rsid w:val="00FB4B45"/>
    <w:rsid w:val="00FB4D61"/>
    <w:rsid w:val="00FB5878"/>
    <w:rsid w:val="00FB663B"/>
    <w:rsid w:val="00FB6A7C"/>
    <w:rsid w:val="00FC066A"/>
    <w:rsid w:val="00FC0721"/>
    <w:rsid w:val="00FC124A"/>
    <w:rsid w:val="00FC18E2"/>
    <w:rsid w:val="00FC321D"/>
    <w:rsid w:val="00FC34E9"/>
    <w:rsid w:val="00FC510B"/>
    <w:rsid w:val="00FC54CD"/>
    <w:rsid w:val="00FC75A3"/>
    <w:rsid w:val="00FD2706"/>
    <w:rsid w:val="00FD2FDD"/>
    <w:rsid w:val="00FD3BBB"/>
    <w:rsid w:val="00FD4396"/>
    <w:rsid w:val="00FD6ACB"/>
    <w:rsid w:val="00FD730C"/>
    <w:rsid w:val="00FD759A"/>
    <w:rsid w:val="00FD7635"/>
    <w:rsid w:val="00FD7642"/>
    <w:rsid w:val="00FE193A"/>
    <w:rsid w:val="00FE2CE8"/>
    <w:rsid w:val="00FE2D72"/>
    <w:rsid w:val="00FE4343"/>
    <w:rsid w:val="00FE59AD"/>
    <w:rsid w:val="00FE5D06"/>
    <w:rsid w:val="00FE5E75"/>
    <w:rsid w:val="00FE6990"/>
    <w:rsid w:val="00FE7C87"/>
    <w:rsid w:val="00FE7F44"/>
    <w:rsid w:val="00FF01BE"/>
    <w:rsid w:val="00FF26F1"/>
    <w:rsid w:val="00FF4963"/>
    <w:rsid w:val="00FF5335"/>
    <w:rsid w:val="01DD7374"/>
    <w:rsid w:val="07E557C8"/>
    <w:rsid w:val="08B4332C"/>
    <w:rsid w:val="0A03039D"/>
    <w:rsid w:val="0E1B0C5B"/>
    <w:rsid w:val="12032CAF"/>
    <w:rsid w:val="1259496F"/>
    <w:rsid w:val="128313C3"/>
    <w:rsid w:val="18CE653D"/>
    <w:rsid w:val="1CD1075C"/>
    <w:rsid w:val="1EAC14EB"/>
    <w:rsid w:val="22EC4818"/>
    <w:rsid w:val="22F43BA1"/>
    <w:rsid w:val="23AB3C28"/>
    <w:rsid w:val="27DF6277"/>
    <w:rsid w:val="29F200C7"/>
    <w:rsid w:val="2BBA62D6"/>
    <w:rsid w:val="2E253665"/>
    <w:rsid w:val="30323A96"/>
    <w:rsid w:val="321F0E41"/>
    <w:rsid w:val="34301D42"/>
    <w:rsid w:val="381E427E"/>
    <w:rsid w:val="3F5F43DE"/>
    <w:rsid w:val="3FF355A4"/>
    <w:rsid w:val="41E64807"/>
    <w:rsid w:val="42902048"/>
    <w:rsid w:val="463925D9"/>
    <w:rsid w:val="475359F4"/>
    <w:rsid w:val="4966317A"/>
    <w:rsid w:val="49E37C6E"/>
    <w:rsid w:val="4A57033A"/>
    <w:rsid w:val="4B2650FE"/>
    <w:rsid w:val="4BC667D6"/>
    <w:rsid w:val="4C9752F4"/>
    <w:rsid w:val="4DBB4E22"/>
    <w:rsid w:val="4FF653BD"/>
    <w:rsid w:val="51B67514"/>
    <w:rsid w:val="538233E7"/>
    <w:rsid w:val="549153CC"/>
    <w:rsid w:val="55AC5193"/>
    <w:rsid w:val="564C336D"/>
    <w:rsid w:val="565D0925"/>
    <w:rsid w:val="57E43895"/>
    <w:rsid w:val="583267E3"/>
    <w:rsid w:val="59336223"/>
    <w:rsid w:val="594A4624"/>
    <w:rsid w:val="596545A2"/>
    <w:rsid w:val="5A121347"/>
    <w:rsid w:val="5AFC28DF"/>
    <w:rsid w:val="5D52513E"/>
    <w:rsid w:val="5E253098"/>
    <w:rsid w:val="5E9931E6"/>
    <w:rsid w:val="5EE107E5"/>
    <w:rsid w:val="5F2B98C8"/>
    <w:rsid w:val="60236A8B"/>
    <w:rsid w:val="655138AF"/>
    <w:rsid w:val="684969A7"/>
    <w:rsid w:val="6E1668CD"/>
    <w:rsid w:val="6F7B515B"/>
    <w:rsid w:val="703E64B2"/>
    <w:rsid w:val="778E29D2"/>
    <w:rsid w:val="77DA1A92"/>
    <w:rsid w:val="7B2873D8"/>
    <w:rsid w:val="7D283B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semiHidden="0" w:name="toc 3"/>
    <w:lsdException w:uiPriority="0" w:semiHidden="0" w:name="toc 4"/>
    <w:lsdException w:uiPriority="0" w:semiHidden="0" w:name="toc 5"/>
    <w:lsdException w:uiPriority="0" w:semiHidden="0" w:name="toc 6"/>
    <w:lsdException w:uiPriority="0" w:semiHidden="0" w:name="toc 7"/>
    <w:lsdException w:uiPriority="0" w:semiHidden="0" w:name="toc 8"/>
    <w:lsdException w:uiPriority="0" w:semiHidden="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5"/>
    <w:semiHidden/>
    <w:unhideWhenUsed/>
    <w:qFormat/>
    <w:uiPriority w:val="0"/>
    <w:pPr>
      <w:jc w:val="left"/>
    </w:pPr>
  </w:style>
  <w:style w:type="paragraph" w:styleId="5">
    <w:name w:val="Body Text 3"/>
    <w:basedOn w:val="1"/>
    <w:link w:val="18"/>
    <w:qFormat/>
    <w:uiPriority w:val="0"/>
    <w:rPr>
      <w:rFonts w:ascii="宋体"/>
      <w:sz w:val="24"/>
      <w:szCs w:val="20"/>
    </w:rPr>
  </w:style>
  <w:style w:type="paragraph" w:styleId="6">
    <w:name w:val="Date"/>
    <w:basedOn w:val="1"/>
    <w:next w:val="1"/>
    <w:link w:val="24"/>
    <w:unhideWhenUsed/>
    <w:qFormat/>
    <w:uiPriority w:val="0"/>
    <w:pPr>
      <w:ind w:left="100" w:leftChars="2500"/>
    </w:pPr>
  </w:style>
  <w:style w:type="paragraph" w:styleId="7">
    <w:name w:val="Balloon Text"/>
    <w:basedOn w:val="1"/>
    <w:link w:val="22"/>
    <w:unhideWhenUsed/>
    <w:qFormat/>
    <w:uiPriority w:val="0"/>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1050"/>
        <w:tab w:val="left" w:pos="1195"/>
        <w:tab w:val="right" w:leader="dot" w:pos="10456"/>
      </w:tabs>
      <w:ind w:left="424" w:leftChars="202"/>
    </w:pPr>
    <w:rPr>
      <w:rFonts w:ascii="宋体" w:hAnsi="宋体"/>
    </w:rPr>
  </w:style>
  <w:style w:type="paragraph" w:styleId="11">
    <w:name w:val="toc 2"/>
    <w:basedOn w:val="1"/>
    <w:next w:val="1"/>
    <w:unhideWhenUsed/>
    <w:qFormat/>
    <w:uiPriority w:val="39"/>
    <w:pPr>
      <w:tabs>
        <w:tab w:val="left" w:pos="1260"/>
        <w:tab w:val="right" w:leader="dot" w:pos="10456"/>
      </w:tabs>
      <w:ind w:left="420" w:leftChars="200"/>
    </w:pPr>
  </w:style>
  <w:style w:type="paragraph" w:styleId="12">
    <w:name w:val="annotation subject"/>
    <w:basedOn w:val="4"/>
    <w:next w:val="4"/>
    <w:link w:val="36"/>
    <w:semiHidden/>
    <w:unhideWhenUsed/>
    <w:qFormat/>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qFormat/>
    <w:uiPriority w:val="99"/>
    <w:rPr>
      <w:color w:val="0000FF"/>
      <w:u w:val="single"/>
    </w:rPr>
  </w:style>
  <w:style w:type="character" w:styleId="17">
    <w:name w:val="annotation reference"/>
    <w:basedOn w:val="15"/>
    <w:semiHidden/>
    <w:unhideWhenUsed/>
    <w:qFormat/>
    <w:uiPriority w:val="0"/>
    <w:rPr>
      <w:sz w:val="21"/>
      <w:szCs w:val="21"/>
    </w:rPr>
  </w:style>
  <w:style w:type="character" w:customStyle="1" w:styleId="18">
    <w:name w:val="正文文本 3 字符"/>
    <w:link w:val="5"/>
    <w:qFormat/>
    <w:uiPriority w:val="0"/>
    <w:rPr>
      <w:rFonts w:ascii="宋体" w:hAnsi="Calibri"/>
      <w:kern w:val="2"/>
      <w:sz w:val="24"/>
    </w:rPr>
  </w:style>
  <w:style w:type="character" w:customStyle="1" w:styleId="19">
    <w:name w:val="正文文本 3 字符1"/>
    <w:semiHidden/>
    <w:qFormat/>
    <w:uiPriority w:val="0"/>
    <w:rPr>
      <w:kern w:val="2"/>
      <w:sz w:val="16"/>
      <w:szCs w:val="16"/>
    </w:rPr>
  </w:style>
  <w:style w:type="character" w:customStyle="1" w:styleId="20">
    <w:name w:val="标题 2 字符"/>
    <w:link w:val="3"/>
    <w:qFormat/>
    <w:uiPriority w:val="0"/>
    <w:rPr>
      <w:rFonts w:ascii="Cambria" w:hAnsi="Cambria" w:eastAsia="宋体" w:cs="Times New Roman"/>
      <w:b/>
      <w:bCs/>
      <w:kern w:val="2"/>
      <w:sz w:val="32"/>
      <w:szCs w:val="32"/>
    </w:rPr>
  </w:style>
  <w:style w:type="character" w:customStyle="1" w:styleId="21">
    <w:name w:val="kt1"/>
    <w:qFormat/>
    <w:uiPriority w:val="0"/>
    <w:rPr>
      <w:rFonts w:hint="eastAsia" w:ascii="宋体_GB2312" w:eastAsia="宋体_GB2312"/>
      <w:sz w:val="20"/>
      <w:szCs w:val="20"/>
    </w:rPr>
  </w:style>
  <w:style w:type="character" w:customStyle="1" w:styleId="22">
    <w:name w:val="批注框文本 字符"/>
    <w:link w:val="7"/>
    <w:semiHidden/>
    <w:qFormat/>
    <w:uiPriority w:val="0"/>
    <w:rPr>
      <w:kern w:val="2"/>
      <w:sz w:val="18"/>
      <w:szCs w:val="18"/>
    </w:rPr>
  </w:style>
  <w:style w:type="character" w:customStyle="1" w:styleId="23">
    <w:name w:val="页脚 字符"/>
    <w:link w:val="8"/>
    <w:qFormat/>
    <w:uiPriority w:val="99"/>
    <w:rPr>
      <w:kern w:val="2"/>
      <w:sz w:val="18"/>
      <w:szCs w:val="18"/>
    </w:rPr>
  </w:style>
  <w:style w:type="character" w:customStyle="1" w:styleId="24">
    <w:name w:val="日期 字符"/>
    <w:link w:val="6"/>
    <w:semiHidden/>
    <w:qFormat/>
    <w:uiPriority w:val="0"/>
    <w:rPr>
      <w:kern w:val="2"/>
      <w:sz w:val="21"/>
      <w:szCs w:val="24"/>
    </w:rPr>
  </w:style>
  <w:style w:type="character" w:customStyle="1" w:styleId="25">
    <w:name w:val="页眉 字符"/>
    <w:link w:val="9"/>
    <w:qFormat/>
    <w:uiPriority w:val="0"/>
    <w:rPr>
      <w:kern w:val="2"/>
      <w:sz w:val="18"/>
      <w:szCs w:val="18"/>
    </w:rPr>
  </w:style>
  <w:style w:type="paragraph" w:customStyle="1" w:styleId="26">
    <w:name w:val="目录 61"/>
    <w:basedOn w:val="1"/>
    <w:next w:val="1"/>
    <w:unhideWhenUsed/>
    <w:qFormat/>
    <w:uiPriority w:val="0"/>
    <w:pPr>
      <w:ind w:left="1050"/>
      <w:jc w:val="left"/>
    </w:pPr>
    <w:rPr>
      <w:rFonts w:cs="Calibri"/>
      <w:sz w:val="18"/>
      <w:szCs w:val="18"/>
    </w:rPr>
  </w:style>
  <w:style w:type="paragraph" w:customStyle="1" w:styleId="27">
    <w:name w:val="目录 11"/>
    <w:basedOn w:val="1"/>
    <w:next w:val="1"/>
    <w:unhideWhenUsed/>
    <w:qFormat/>
    <w:uiPriority w:val="39"/>
    <w:pPr>
      <w:spacing w:before="120" w:after="120"/>
      <w:jc w:val="left"/>
    </w:pPr>
    <w:rPr>
      <w:rFonts w:cs="Calibri"/>
      <w:b/>
      <w:bCs/>
      <w:caps/>
      <w:sz w:val="20"/>
      <w:szCs w:val="20"/>
    </w:rPr>
  </w:style>
  <w:style w:type="paragraph" w:customStyle="1" w:styleId="28">
    <w:name w:val="目录 81"/>
    <w:basedOn w:val="1"/>
    <w:next w:val="1"/>
    <w:unhideWhenUsed/>
    <w:qFormat/>
    <w:uiPriority w:val="0"/>
    <w:pPr>
      <w:ind w:left="1470"/>
      <w:jc w:val="left"/>
    </w:pPr>
    <w:rPr>
      <w:rFonts w:cs="Calibri"/>
      <w:sz w:val="18"/>
      <w:szCs w:val="18"/>
    </w:rPr>
  </w:style>
  <w:style w:type="paragraph" w:customStyle="1" w:styleId="29">
    <w:name w:val="目录 31"/>
    <w:basedOn w:val="1"/>
    <w:next w:val="1"/>
    <w:unhideWhenUsed/>
    <w:qFormat/>
    <w:uiPriority w:val="0"/>
    <w:pPr>
      <w:ind w:left="420"/>
      <w:jc w:val="left"/>
    </w:pPr>
    <w:rPr>
      <w:rFonts w:cs="Calibri"/>
      <w:i/>
      <w:iCs/>
      <w:sz w:val="20"/>
      <w:szCs w:val="20"/>
    </w:rPr>
  </w:style>
  <w:style w:type="paragraph" w:customStyle="1" w:styleId="30">
    <w:name w:val="目录 51"/>
    <w:basedOn w:val="1"/>
    <w:next w:val="1"/>
    <w:unhideWhenUsed/>
    <w:qFormat/>
    <w:uiPriority w:val="0"/>
    <w:pPr>
      <w:ind w:left="840"/>
      <w:jc w:val="left"/>
    </w:pPr>
    <w:rPr>
      <w:rFonts w:cs="Calibri"/>
      <w:sz w:val="18"/>
      <w:szCs w:val="18"/>
    </w:rPr>
  </w:style>
  <w:style w:type="paragraph" w:customStyle="1" w:styleId="31">
    <w:name w:val="目录 91"/>
    <w:basedOn w:val="1"/>
    <w:next w:val="1"/>
    <w:unhideWhenUsed/>
    <w:qFormat/>
    <w:uiPriority w:val="0"/>
    <w:pPr>
      <w:ind w:left="1680"/>
      <w:jc w:val="left"/>
    </w:pPr>
    <w:rPr>
      <w:rFonts w:cs="Calibri"/>
      <w:sz w:val="18"/>
      <w:szCs w:val="18"/>
    </w:rPr>
  </w:style>
  <w:style w:type="paragraph" w:customStyle="1" w:styleId="32">
    <w:name w:val="目录 71"/>
    <w:basedOn w:val="1"/>
    <w:next w:val="1"/>
    <w:unhideWhenUsed/>
    <w:qFormat/>
    <w:uiPriority w:val="0"/>
    <w:pPr>
      <w:ind w:left="1260"/>
      <w:jc w:val="left"/>
    </w:pPr>
    <w:rPr>
      <w:rFonts w:cs="Calibri"/>
      <w:sz w:val="18"/>
      <w:szCs w:val="18"/>
    </w:rPr>
  </w:style>
  <w:style w:type="paragraph" w:customStyle="1" w:styleId="33">
    <w:name w:val="目录 21"/>
    <w:basedOn w:val="1"/>
    <w:next w:val="1"/>
    <w:unhideWhenUsed/>
    <w:qFormat/>
    <w:uiPriority w:val="39"/>
    <w:pPr>
      <w:ind w:left="210"/>
      <w:jc w:val="left"/>
    </w:pPr>
    <w:rPr>
      <w:rFonts w:cs="Calibri"/>
      <w:smallCaps/>
      <w:sz w:val="20"/>
      <w:szCs w:val="20"/>
    </w:rPr>
  </w:style>
  <w:style w:type="paragraph" w:customStyle="1" w:styleId="34">
    <w:name w:val="目录 41"/>
    <w:basedOn w:val="1"/>
    <w:next w:val="1"/>
    <w:unhideWhenUsed/>
    <w:qFormat/>
    <w:uiPriority w:val="0"/>
    <w:pPr>
      <w:ind w:left="630"/>
      <w:jc w:val="left"/>
    </w:pPr>
    <w:rPr>
      <w:rFonts w:cs="Calibri"/>
      <w:sz w:val="18"/>
      <w:szCs w:val="18"/>
    </w:rPr>
  </w:style>
  <w:style w:type="character" w:customStyle="1" w:styleId="35">
    <w:name w:val="批注文字 字符"/>
    <w:basedOn w:val="15"/>
    <w:link w:val="4"/>
    <w:semiHidden/>
    <w:qFormat/>
    <w:uiPriority w:val="0"/>
    <w:rPr>
      <w:kern w:val="2"/>
      <w:sz w:val="21"/>
      <w:szCs w:val="24"/>
    </w:rPr>
  </w:style>
  <w:style w:type="character" w:customStyle="1" w:styleId="36">
    <w:name w:val="批注主题 字符"/>
    <w:basedOn w:val="35"/>
    <w:link w:val="12"/>
    <w:semiHidden/>
    <w:qFormat/>
    <w:uiPriority w:val="0"/>
    <w:rPr>
      <w:b/>
      <w:bCs/>
      <w:kern w:val="2"/>
      <w:sz w:val="21"/>
      <w:szCs w:val="24"/>
    </w:rPr>
  </w:style>
  <w:style w:type="paragraph" w:styleId="37">
    <w:name w:val="List Paragraph"/>
    <w:basedOn w:val="1"/>
    <w:qFormat/>
    <w:uiPriority w:val="99"/>
    <w:pPr>
      <w:ind w:firstLine="420" w:firstLineChars="200"/>
    </w:pPr>
  </w:style>
  <w:style w:type="paragraph" w:customStyle="1" w:styleId="3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39">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ontrol" Target="activeX/activeX10.xml"/><Relationship Id="rId17" Type="http://schemas.openxmlformats.org/officeDocument/2006/relationships/control" Target="activeX/activeX9.xml"/><Relationship Id="rId16" Type="http://schemas.openxmlformats.org/officeDocument/2006/relationships/control" Target="activeX/activeX8.xml"/><Relationship Id="rId15" Type="http://schemas.openxmlformats.org/officeDocument/2006/relationships/image" Target="media/image4.wmf"/><Relationship Id="rId14" Type="http://schemas.openxmlformats.org/officeDocument/2006/relationships/control" Target="activeX/activeX7.xml"/><Relationship Id="rId13" Type="http://schemas.openxmlformats.org/officeDocument/2006/relationships/control" Target="activeX/activeX6.xml"/><Relationship Id="rId12" Type="http://schemas.openxmlformats.org/officeDocument/2006/relationships/control" Target="activeX/activeX5.xml"/><Relationship Id="rId11" Type="http://schemas.openxmlformats.org/officeDocument/2006/relationships/control" Target="activeX/activeX4.xml"/><Relationship Id="rId10" Type="http://schemas.openxmlformats.org/officeDocument/2006/relationships/control" Target="activeX/activeX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44"/>
    <customShpInfo spid="_x0000_s1045"/>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DF6885-A6E6-47AA-BE1F-807F6FB0A117}">
  <ds:schemaRefs/>
</ds:datastoreItem>
</file>

<file path=docProps/app.xml><?xml version="1.0" encoding="utf-8"?>
<Properties xmlns="http://schemas.openxmlformats.org/officeDocument/2006/extended-properties" xmlns:vt="http://schemas.openxmlformats.org/officeDocument/2006/docPropsVTypes">
  <Company>微软中国</Company>
  <Pages>14</Pages>
  <Words>5757</Words>
  <Characters>6089</Characters>
  <Lines>167</Lines>
  <Paragraphs>290</Paragraphs>
  <TotalTime>3</TotalTime>
  <ScaleCrop>false</ScaleCrop>
  <LinksUpToDate>false</LinksUpToDate>
  <CharactersWithSpaces>6707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2021-11-26T23:57:00Z</dcterms:created>
  <dc:creator>杨帆</dc:creator>
  <cp:lastModifiedBy>好人</cp:lastModifiedBy>
  <cp:lastPrinted>2022-04-13T08:22:00Z</cp:lastPrinted>
  <dcterms:modified xsi:type="dcterms:W3CDTF">2026-03-05T06:43:03Z</dcterms:modified>
  <dc:title>采购文件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eyJoZGlkIjoiMjM4MTU2NWNiYTIwNzRiOTFmNmU4ZDY1ZWZhOWYwNDEiLCJ1c2VySWQiOiI3OTMxMjk3ODEifQ==</vt:lpwstr>
  </property>
  <property fmtid="{D5CDD505-2E9C-101B-9397-08002B2CF9AE}" pid="4" name="ICV">
    <vt:lpwstr>B2C63147A0E14E6E8EE3C33CE4CDFADD_13</vt:lpwstr>
  </property>
</Properties>
</file>