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E36E0">
      <w:pPr>
        <w:jc w:val="center"/>
        <w:rPr>
          <w:rFonts w:hint="default" w:ascii="Times New Roman" w:hAnsi="Times New Roman" w:eastAsia="宋体"/>
          <w:b/>
          <w:bCs/>
          <w:sz w:val="36"/>
          <w:szCs w:val="36"/>
          <w:highlight w:val="none"/>
          <w:shd w:val="clear" w:color="auto" w:fill="FFFFFF"/>
          <w:lang w:val="en-US" w:eastAsia="zh-CN"/>
        </w:rPr>
      </w:pPr>
      <w:r>
        <w:rPr>
          <w:rFonts w:hint="eastAsia" w:ascii="Times New Roman" w:hAnsi="Times New Roman" w:eastAsia="宋体"/>
          <w:b/>
          <w:bCs/>
          <w:sz w:val="36"/>
          <w:szCs w:val="36"/>
          <w:highlight w:val="none"/>
          <w:shd w:val="clear" w:color="auto" w:fill="FFFFFF"/>
        </w:rPr>
        <w:t>调压计量撬主要设备技</w:t>
      </w:r>
      <w:r>
        <w:rPr>
          <w:rFonts w:ascii="Times New Roman" w:hAnsi="Times New Roman" w:eastAsia="宋体"/>
          <w:b/>
          <w:bCs/>
          <w:sz w:val="36"/>
          <w:szCs w:val="36"/>
          <w:highlight w:val="none"/>
          <w:shd w:val="clear" w:color="auto" w:fill="FFFFFF"/>
        </w:rPr>
        <w:t>术要求</w:t>
      </w:r>
    </w:p>
    <w:p w14:paraId="3D97F661">
      <w:pPr>
        <w:jc w:val="center"/>
        <w:rPr>
          <w:rFonts w:ascii="Times New Roman" w:hAnsi="Times New Roman" w:eastAsia="宋体"/>
          <w:b/>
          <w:bCs/>
          <w:sz w:val="36"/>
          <w:szCs w:val="36"/>
          <w:highlight w:val="none"/>
          <w:shd w:val="clear" w:color="auto" w:fill="FFFFFF"/>
        </w:rPr>
      </w:pPr>
    </w:p>
    <w:p w14:paraId="29B26F64">
      <w:pPr>
        <w:spacing w:line="360" w:lineRule="auto"/>
        <w:rPr>
          <w:rFonts w:ascii="Times New Roman" w:hAnsi="Times New Roman" w:eastAsia="宋体"/>
          <w:b/>
          <w:sz w:val="24"/>
          <w:highlight w:val="none"/>
        </w:rPr>
      </w:pPr>
      <w:r>
        <w:rPr>
          <w:rFonts w:ascii="Times New Roman" w:hAnsi="Times New Roman" w:eastAsia="宋体"/>
          <w:b/>
          <w:sz w:val="24"/>
          <w:highlight w:val="none"/>
        </w:rPr>
        <w:t>一、工程名称：</w:t>
      </w:r>
      <w:bookmarkStart w:id="1" w:name="_GoBack"/>
      <w:r>
        <w:rPr>
          <w:rFonts w:hint="eastAsia" w:ascii="Times New Roman" w:hAnsi="Times New Roman" w:eastAsia="宋体" w:cs="仿宋"/>
          <w:bCs/>
          <w:sz w:val="28"/>
          <w:szCs w:val="28"/>
          <w:shd w:val="clear" w:color="auto" w:fill="FFFFFF"/>
        </w:rPr>
        <w:t>长蒙蒙西丽王科技燃气管道工程项目</w:t>
      </w:r>
    </w:p>
    <w:bookmarkEnd w:id="1"/>
    <w:p w14:paraId="6345D36C">
      <w:pPr>
        <w:spacing w:line="360" w:lineRule="auto"/>
        <w:rPr>
          <w:rFonts w:hint="default" w:ascii="Times New Roman" w:hAnsi="Times New Roman" w:eastAsia="宋体"/>
          <w:b/>
          <w:sz w:val="24"/>
          <w:highlight w:val="none"/>
          <w:lang w:val="en-US" w:eastAsia="zh-CN"/>
        </w:rPr>
      </w:pPr>
      <w:r>
        <w:rPr>
          <w:rFonts w:ascii="Times New Roman" w:hAnsi="Times New Roman" w:eastAsia="宋体"/>
          <w:b/>
          <w:sz w:val="24"/>
          <w:highlight w:val="none"/>
        </w:rPr>
        <w:t>二、工程地点：</w:t>
      </w:r>
      <w:r>
        <w:rPr>
          <w:rFonts w:hint="eastAsia"/>
          <w:b/>
          <w:sz w:val="24"/>
          <w:highlight w:val="none"/>
          <w:lang w:val="en-US" w:eastAsia="zh-CN"/>
        </w:rPr>
        <w:t>长蒙蒙西</w:t>
      </w:r>
    </w:p>
    <w:p w14:paraId="4367286B">
      <w:pPr>
        <w:spacing w:line="360" w:lineRule="auto"/>
        <w:rPr>
          <w:rFonts w:ascii="Times New Roman" w:hAnsi="Times New Roman" w:eastAsia="宋体"/>
          <w:color w:val="000000"/>
          <w:sz w:val="24"/>
          <w:szCs w:val="21"/>
          <w:highlight w:val="none"/>
          <w:u w:val="single"/>
        </w:rPr>
      </w:pPr>
      <w:r>
        <w:rPr>
          <w:rFonts w:ascii="Times New Roman" w:hAnsi="Times New Roman" w:eastAsia="宋体"/>
          <w:b/>
          <w:sz w:val="24"/>
          <w:highlight w:val="none"/>
        </w:rPr>
        <w:t>三、工程规模：</w:t>
      </w:r>
      <w:r>
        <w:rPr>
          <w:rFonts w:hint="eastAsia" w:ascii="Times New Roman" w:hAnsi="Times New Roman" w:eastAsia="宋体"/>
          <w:color w:val="000000"/>
          <w:sz w:val="24"/>
          <w:szCs w:val="21"/>
          <w:highlight w:val="none"/>
          <w:u w:val="single"/>
        </w:rPr>
        <w:t>设计规模</w:t>
      </w:r>
      <w:r>
        <w:rPr>
          <w:rFonts w:hint="eastAsia"/>
          <w:color w:val="000000"/>
          <w:sz w:val="24"/>
          <w:szCs w:val="21"/>
          <w:highlight w:val="none"/>
          <w:u w:val="single"/>
          <w:lang w:val="en-US" w:eastAsia="zh-CN"/>
        </w:rPr>
        <w:t>33</w:t>
      </w:r>
      <w:r>
        <w:rPr>
          <w:rFonts w:hint="eastAsia" w:ascii="Times New Roman" w:hAnsi="Times New Roman" w:eastAsia="宋体"/>
          <w:color w:val="000000"/>
          <w:sz w:val="24"/>
          <w:szCs w:val="21"/>
          <w:highlight w:val="none"/>
          <w:u w:val="single"/>
          <w:lang w:val="en-US" w:eastAsia="zh-CN"/>
        </w:rPr>
        <w:t>00</w:t>
      </w:r>
      <w:r>
        <w:rPr>
          <w:rFonts w:ascii="Times New Roman" w:hAnsi="Times New Roman" w:eastAsia="宋体"/>
          <w:color w:val="000000"/>
          <w:sz w:val="24"/>
          <w:szCs w:val="21"/>
          <w:highlight w:val="none"/>
          <w:u w:val="single"/>
        </w:rPr>
        <w:t>Nm3/h；</w:t>
      </w:r>
    </w:p>
    <w:p w14:paraId="3B60F9CC">
      <w:pPr>
        <w:spacing w:line="360" w:lineRule="auto"/>
        <w:rPr>
          <w:rFonts w:ascii="Times New Roman" w:hAnsi="Times New Roman" w:eastAsia="宋体"/>
          <w:b/>
          <w:sz w:val="24"/>
          <w:highlight w:val="none"/>
        </w:rPr>
      </w:pPr>
      <w:r>
        <w:rPr>
          <w:rFonts w:hint="eastAsia" w:ascii="Times New Roman" w:hAnsi="Times New Roman" w:eastAsia="宋体"/>
          <w:b/>
          <w:sz w:val="24"/>
          <w:highlight w:val="none"/>
        </w:rPr>
        <w:t>四、撬装设备情况</w:t>
      </w:r>
    </w:p>
    <w:p w14:paraId="27943595">
      <w:pPr>
        <w:snapToGrid w:val="0"/>
        <w:spacing w:line="360" w:lineRule="auto"/>
        <w:ind w:firstLine="480" w:firstLineChars="200"/>
        <w:rPr>
          <w:rFonts w:ascii="Times New Roman" w:hAnsi="Times New Roman" w:eastAsia="宋体"/>
          <w:color w:val="000000"/>
          <w:sz w:val="24"/>
          <w:szCs w:val="21"/>
          <w:highlight w:val="none"/>
          <w:u w:val="single"/>
        </w:rPr>
      </w:pPr>
      <w:r>
        <w:rPr>
          <w:rFonts w:hint="eastAsia" w:ascii="Times New Roman" w:hAnsi="Times New Roman" w:eastAsia="宋体"/>
          <w:color w:val="000000"/>
          <w:sz w:val="24"/>
          <w:szCs w:val="21"/>
          <w:highlight w:val="none"/>
          <w:u w:val="single"/>
        </w:rPr>
        <w:t>调压计量撬</w:t>
      </w:r>
      <w:r>
        <w:rPr>
          <w:rFonts w:ascii="Times New Roman" w:hAnsi="Times New Roman" w:eastAsia="宋体"/>
          <w:color w:val="000000"/>
          <w:sz w:val="24"/>
          <w:szCs w:val="21"/>
          <w:highlight w:val="none"/>
          <w:u w:val="single"/>
        </w:rPr>
        <w:t>主要由过滤、</w:t>
      </w:r>
      <w:r>
        <w:rPr>
          <w:rFonts w:hint="eastAsia" w:ascii="Times New Roman" w:hAnsi="Times New Roman" w:eastAsia="宋体"/>
          <w:color w:val="000000"/>
          <w:sz w:val="24"/>
          <w:szCs w:val="21"/>
          <w:highlight w:val="none"/>
          <w:u w:val="single"/>
        </w:rPr>
        <w:t>计量</w:t>
      </w:r>
      <w:r>
        <w:rPr>
          <w:rFonts w:hint="eastAsia"/>
          <w:color w:val="000000"/>
          <w:sz w:val="24"/>
          <w:szCs w:val="21"/>
          <w:highlight w:val="none"/>
          <w:u w:val="single"/>
          <w:lang w:eastAsia="zh-CN"/>
        </w:rPr>
        <w:t>、</w:t>
      </w:r>
      <w:r>
        <w:rPr>
          <w:rFonts w:hint="eastAsia" w:ascii="Times New Roman" w:hAnsi="Times New Roman" w:eastAsia="宋体"/>
          <w:color w:val="000000"/>
          <w:sz w:val="24"/>
          <w:szCs w:val="21"/>
          <w:highlight w:val="none"/>
          <w:u w:val="single"/>
        </w:rPr>
        <w:t>调压系统系统</w:t>
      </w:r>
      <w:r>
        <w:rPr>
          <w:rFonts w:ascii="Times New Roman" w:hAnsi="Times New Roman" w:eastAsia="宋体"/>
          <w:color w:val="000000"/>
          <w:sz w:val="24"/>
          <w:szCs w:val="21"/>
          <w:highlight w:val="none"/>
          <w:u w:val="single"/>
        </w:rPr>
        <w:t>以及相应的管道、阀门、管件等组成。为保证下游设备的正常工作，提高系统的可靠性，</w:t>
      </w:r>
      <w:r>
        <w:rPr>
          <w:rFonts w:hint="eastAsia" w:ascii="Times New Roman" w:hAnsi="Times New Roman" w:eastAsia="宋体"/>
          <w:color w:val="000000"/>
          <w:sz w:val="24"/>
          <w:szCs w:val="21"/>
          <w:highlight w:val="none"/>
          <w:u w:val="single"/>
        </w:rPr>
        <w:t>站内过滤、计量</w:t>
      </w:r>
      <w:r>
        <w:rPr>
          <w:rFonts w:hint="eastAsia" w:ascii="Times New Roman" w:hAnsi="Times New Roman" w:eastAsia="宋体"/>
          <w:color w:val="000000"/>
          <w:sz w:val="24"/>
          <w:szCs w:val="21"/>
          <w:highlight w:val="none"/>
          <w:u w:val="single"/>
          <w:lang w:eastAsia="zh-CN"/>
        </w:rPr>
        <w:t>、</w:t>
      </w:r>
      <w:r>
        <w:rPr>
          <w:rFonts w:hint="eastAsia" w:ascii="Times New Roman" w:hAnsi="Times New Roman" w:eastAsia="宋体"/>
          <w:color w:val="000000"/>
          <w:sz w:val="24"/>
          <w:szCs w:val="21"/>
          <w:highlight w:val="none"/>
          <w:u w:val="single"/>
        </w:rPr>
        <w:t>调压等设备考虑1用1备形式。</w:t>
      </w:r>
    </w:p>
    <w:p w14:paraId="18670DE9">
      <w:pPr>
        <w:spacing w:line="360" w:lineRule="auto"/>
        <w:rPr>
          <w:rFonts w:ascii="Times New Roman" w:hAnsi="Times New Roman" w:eastAsia="宋体"/>
          <w:b/>
          <w:sz w:val="24"/>
          <w:highlight w:val="none"/>
        </w:rPr>
      </w:pPr>
      <w:r>
        <w:rPr>
          <w:rFonts w:hint="eastAsia" w:ascii="Times New Roman" w:hAnsi="Times New Roman" w:eastAsia="宋体"/>
          <w:b/>
          <w:sz w:val="24"/>
          <w:highlight w:val="none"/>
        </w:rPr>
        <w:t>五</w:t>
      </w:r>
      <w:r>
        <w:rPr>
          <w:rFonts w:ascii="Times New Roman" w:hAnsi="Times New Roman" w:eastAsia="宋体"/>
          <w:b/>
          <w:sz w:val="24"/>
          <w:highlight w:val="none"/>
        </w:rPr>
        <w:t>、主要配置表：</w:t>
      </w:r>
    </w:p>
    <w:tbl>
      <w:tblPr>
        <w:tblStyle w:val="14"/>
        <w:tblW w:w="86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2258"/>
        <w:gridCol w:w="3101"/>
        <w:gridCol w:w="745"/>
        <w:gridCol w:w="973"/>
        <w:gridCol w:w="752"/>
      </w:tblGrid>
      <w:tr w14:paraId="1CC6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tcBorders>
              <w:top w:val="single" w:color="auto" w:sz="4" w:space="0"/>
            </w:tcBorders>
            <w:vAlign w:val="center"/>
          </w:tcPr>
          <w:p w14:paraId="5D3AD137">
            <w:pPr>
              <w:adjustRightInd w:val="0"/>
              <w:snapToGrid w:val="0"/>
              <w:spacing w:line="360" w:lineRule="auto"/>
              <w:jc w:val="center"/>
              <w:rPr>
                <w:rFonts w:ascii="Times New Roman" w:hAnsi="Times New Roman" w:eastAsia="宋体" w:cs="Arial"/>
                <w:b/>
                <w:szCs w:val="21"/>
                <w:highlight w:val="none"/>
              </w:rPr>
            </w:pPr>
            <w:r>
              <w:rPr>
                <w:rFonts w:hint="eastAsia" w:ascii="Times New Roman" w:hAnsi="Times New Roman" w:eastAsia="宋体" w:cs="Arial"/>
                <w:b/>
                <w:szCs w:val="21"/>
                <w:highlight w:val="none"/>
              </w:rPr>
              <w:t>序号</w:t>
            </w:r>
          </w:p>
        </w:tc>
        <w:tc>
          <w:tcPr>
            <w:tcW w:w="2258" w:type="dxa"/>
            <w:tcBorders>
              <w:top w:val="single" w:color="auto" w:sz="4" w:space="0"/>
            </w:tcBorders>
            <w:vAlign w:val="center"/>
          </w:tcPr>
          <w:p w14:paraId="2EBA0103">
            <w:pPr>
              <w:adjustRightInd w:val="0"/>
              <w:snapToGrid w:val="0"/>
              <w:spacing w:line="360" w:lineRule="auto"/>
              <w:jc w:val="center"/>
              <w:rPr>
                <w:rFonts w:ascii="Times New Roman" w:hAnsi="Times New Roman" w:eastAsia="宋体" w:cs="Arial"/>
                <w:b/>
                <w:szCs w:val="21"/>
                <w:highlight w:val="none"/>
              </w:rPr>
            </w:pPr>
            <w:r>
              <w:rPr>
                <w:rFonts w:hint="eastAsia" w:ascii="Times New Roman" w:hAnsi="Times New Roman" w:eastAsia="宋体" w:cs="Arial"/>
                <w:b/>
                <w:szCs w:val="21"/>
                <w:highlight w:val="none"/>
              </w:rPr>
              <w:t>名称</w:t>
            </w:r>
          </w:p>
        </w:tc>
        <w:tc>
          <w:tcPr>
            <w:tcW w:w="3101" w:type="dxa"/>
            <w:tcBorders>
              <w:top w:val="single" w:color="auto" w:sz="4" w:space="0"/>
            </w:tcBorders>
            <w:vAlign w:val="center"/>
          </w:tcPr>
          <w:p w14:paraId="4917340B">
            <w:pPr>
              <w:adjustRightInd w:val="0"/>
              <w:snapToGrid w:val="0"/>
              <w:spacing w:line="360" w:lineRule="auto"/>
              <w:jc w:val="center"/>
              <w:rPr>
                <w:rFonts w:ascii="Times New Roman" w:hAnsi="Times New Roman" w:eastAsia="宋体" w:cs="Arial"/>
                <w:b/>
                <w:szCs w:val="21"/>
                <w:highlight w:val="none"/>
              </w:rPr>
            </w:pPr>
            <w:r>
              <w:rPr>
                <w:rFonts w:hint="eastAsia" w:ascii="Times New Roman" w:hAnsi="Times New Roman" w:eastAsia="宋体" w:cs="Arial"/>
                <w:b/>
                <w:szCs w:val="21"/>
                <w:highlight w:val="none"/>
              </w:rPr>
              <w:t>规格</w:t>
            </w:r>
          </w:p>
        </w:tc>
        <w:tc>
          <w:tcPr>
            <w:tcW w:w="745" w:type="dxa"/>
            <w:tcBorders>
              <w:top w:val="single" w:color="auto" w:sz="4" w:space="0"/>
            </w:tcBorders>
            <w:vAlign w:val="center"/>
          </w:tcPr>
          <w:p w14:paraId="587F42F1">
            <w:pPr>
              <w:adjustRightInd w:val="0"/>
              <w:snapToGrid w:val="0"/>
              <w:spacing w:line="360" w:lineRule="auto"/>
              <w:jc w:val="center"/>
              <w:rPr>
                <w:rFonts w:ascii="Times New Roman" w:hAnsi="Times New Roman" w:eastAsia="宋体" w:cs="Arial"/>
                <w:b/>
                <w:szCs w:val="21"/>
                <w:highlight w:val="none"/>
              </w:rPr>
            </w:pPr>
            <w:r>
              <w:rPr>
                <w:rFonts w:hint="eastAsia" w:ascii="Times New Roman" w:hAnsi="Times New Roman" w:eastAsia="宋体" w:cs="Arial"/>
                <w:b/>
                <w:szCs w:val="21"/>
                <w:highlight w:val="none"/>
              </w:rPr>
              <w:t>单位</w:t>
            </w:r>
          </w:p>
        </w:tc>
        <w:tc>
          <w:tcPr>
            <w:tcW w:w="973" w:type="dxa"/>
            <w:tcBorders>
              <w:top w:val="single" w:color="auto" w:sz="4" w:space="0"/>
            </w:tcBorders>
            <w:vAlign w:val="center"/>
          </w:tcPr>
          <w:p w14:paraId="24CED48F">
            <w:pPr>
              <w:adjustRightInd w:val="0"/>
              <w:snapToGrid w:val="0"/>
              <w:spacing w:line="360" w:lineRule="auto"/>
              <w:jc w:val="center"/>
              <w:rPr>
                <w:rFonts w:ascii="Times New Roman" w:hAnsi="Times New Roman" w:eastAsia="宋体" w:cs="Arial"/>
                <w:b/>
                <w:szCs w:val="21"/>
                <w:highlight w:val="none"/>
              </w:rPr>
            </w:pPr>
            <w:r>
              <w:rPr>
                <w:rFonts w:hint="eastAsia" w:ascii="Times New Roman" w:hAnsi="Times New Roman" w:eastAsia="宋体" w:cs="Arial"/>
                <w:b/>
                <w:szCs w:val="21"/>
                <w:highlight w:val="none"/>
              </w:rPr>
              <w:t>数量</w:t>
            </w:r>
          </w:p>
        </w:tc>
        <w:tc>
          <w:tcPr>
            <w:tcW w:w="752" w:type="dxa"/>
            <w:tcBorders>
              <w:top w:val="single" w:color="auto" w:sz="4" w:space="0"/>
            </w:tcBorders>
            <w:vAlign w:val="center"/>
          </w:tcPr>
          <w:p w14:paraId="25EDEA22">
            <w:pPr>
              <w:adjustRightInd w:val="0"/>
              <w:snapToGrid w:val="0"/>
              <w:spacing w:line="360" w:lineRule="auto"/>
              <w:jc w:val="center"/>
              <w:rPr>
                <w:rFonts w:ascii="Times New Roman" w:hAnsi="Times New Roman" w:eastAsia="宋体" w:cs="Arial"/>
                <w:b/>
                <w:szCs w:val="21"/>
                <w:highlight w:val="none"/>
              </w:rPr>
            </w:pPr>
            <w:r>
              <w:rPr>
                <w:rFonts w:hint="eastAsia" w:ascii="Times New Roman" w:hAnsi="Times New Roman" w:eastAsia="宋体" w:cs="Arial"/>
                <w:b/>
                <w:szCs w:val="21"/>
                <w:highlight w:val="none"/>
              </w:rPr>
              <w:t>备注</w:t>
            </w:r>
          </w:p>
        </w:tc>
      </w:tr>
      <w:tr w14:paraId="53CC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Align w:val="center"/>
          </w:tcPr>
          <w:p w14:paraId="2323B9CA">
            <w:pPr>
              <w:adjustRightInd w:val="0"/>
              <w:snapToGrid w:val="0"/>
              <w:spacing w:line="360" w:lineRule="auto"/>
              <w:jc w:val="center"/>
              <w:rPr>
                <w:rFonts w:ascii="Times New Roman" w:hAnsi="Times New Roman" w:eastAsia="宋体" w:cs="Arial"/>
                <w:szCs w:val="21"/>
                <w:highlight w:val="none"/>
              </w:rPr>
            </w:pPr>
            <w:r>
              <w:rPr>
                <w:rFonts w:hint="eastAsia" w:ascii="Times New Roman" w:hAnsi="Times New Roman" w:eastAsia="宋体" w:cs="Arial"/>
                <w:szCs w:val="21"/>
                <w:highlight w:val="none"/>
              </w:rPr>
              <w:t>1</w:t>
            </w:r>
          </w:p>
        </w:tc>
        <w:tc>
          <w:tcPr>
            <w:tcW w:w="2258" w:type="dxa"/>
            <w:vAlign w:val="center"/>
          </w:tcPr>
          <w:p w14:paraId="7AA4164B">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过滤器及其附件</w:t>
            </w:r>
          </w:p>
        </w:tc>
        <w:tc>
          <w:tcPr>
            <w:tcW w:w="3101" w:type="dxa"/>
            <w:vAlign w:val="center"/>
          </w:tcPr>
          <w:p w14:paraId="7EF20F7E">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lang w:val="en-US" w:eastAsia="zh-CN"/>
              </w:rPr>
              <w:t>快开盲板式过滤器DN</w:t>
            </w:r>
            <w:r>
              <w:rPr>
                <w:rFonts w:hint="eastAsia"/>
                <w:color w:val="000000"/>
                <w:szCs w:val="21"/>
                <w:highlight w:val="none"/>
                <w:u w:val="single"/>
                <w:lang w:val="en-US" w:eastAsia="zh-CN"/>
              </w:rPr>
              <w:t>10</w:t>
            </w:r>
            <w:r>
              <w:rPr>
                <w:rFonts w:hint="eastAsia" w:ascii="Times New Roman" w:hAnsi="Times New Roman" w:eastAsia="宋体"/>
                <w:color w:val="000000"/>
                <w:szCs w:val="21"/>
                <w:highlight w:val="none"/>
                <w:u w:val="single"/>
                <w:lang w:val="en-US" w:eastAsia="zh-CN"/>
              </w:rPr>
              <w:t>0</w:t>
            </w:r>
            <w:r>
              <w:rPr>
                <w:rFonts w:hint="eastAsia" w:ascii="Times New Roman" w:hAnsi="Times New Roman" w:eastAsia="宋体"/>
                <w:color w:val="000000"/>
                <w:szCs w:val="21"/>
                <w:highlight w:val="none"/>
                <w:u w:val="single"/>
              </w:rPr>
              <w:t>、</w:t>
            </w:r>
            <w:r>
              <w:rPr>
                <w:rFonts w:hint="eastAsia" w:ascii="Times New Roman" w:hAnsi="Times New Roman" w:eastAsia="宋体"/>
                <w:color w:val="FF0000"/>
                <w:szCs w:val="21"/>
                <w:highlight w:val="none"/>
                <w:u w:val="single"/>
                <w:lang w:val="en-US" w:eastAsia="zh-CN"/>
              </w:rPr>
              <w:t>单路</w:t>
            </w:r>
            <w:r>
              <w:rPr>
                <w:rFonts w:hint="eastAsia" w:ascii="Times New Roman" w:hAnsi="Times New Roman" w:eastAsia="宋体"/>
                <w:color w:val="000000"/>
                <w:szCs w:val="21"/>
                <w:highlight w:val="none"/>
                <w:u w:val="single"/>
                <w:lang w:val="en-US" w:eastAsia="zh-CN"/>
              </w:rPr>
              <w:t>通过量</w:t>
            </w:r>
            <w:r>
              <w:rPr>
                <w:rFonts w:hint="eastAsia"/>
                <w:color w:val="000000"/>
                <w:sz w:val="24"/>
                <w:szCs w:val="21"/>
                <w:highlight w:val="none"/>
                <w:u w:val="single"/>
                <w:lang w:val="en-US" w:eastAsia="zh-CN"/>
              </w:rPr>
              <w:t>33</w:t>
            </w:r>
            <w:r>
              <w:rPr>
                <w:rFonts w:hint="eastAsia" w:ascii="Times New Roman" w:hAnsi="Times New Roman" w:eastAsia="宋体"/>
                <w:color w:val="000000"/>
                <w:sz w:val="24"/>
                <w:szCs w:val="21"/>
                <w:highlight w:val="none"/>
                <w:u w:val="single"/>
                <w:lang w:val="en-US" w:eastAsia="zh-CN"/>
              </w:rPr>
              <w:t>00</w:t>
            </w:r>
            <w:r>
              <w:rPr>
                <w:rFonts w:hint="eastAsia" w:ascii="Times New Roman" w:hAnsi="Times New Roman" w:eastAsia="宋体"/>
                <w:color w:val="000000"/>
                <w:sz w:val="24"/>
                <w:szCs w:val="21"/>
                <w:highlight w:val="none"/>
                <w:u w:val="single"/>
              </w:rPr>
              <w:t>N</w:t>
            </w:r>
            <w:r>
              <w:rPr>
                <w:rFonts w:ascii="Times New Roman" w:hAnsi="Times New Roman" w:eastAsia="宋体"/>
                <w:color w:val="000000"/>
                <w:sz w:val="24"/>
                <w:szCs w:val="21"/>
                <w:highlight w:val="none"/>
                <w:u w:val="single"/>
              </w:rPr>
              <w:t>m</w:t>
            </w:r>
            <w:r>
              <w:rPr>
                <w:rFonts w:ascii="Times New Roman" w:hAnsi="Times New Roman" w:eastAsia="宋体"/>
                <w:color w:val="000000"/>
                <w:sz w:val="24"/>
                <w:szCs w:val="21"/>
                <w:highlight w:val="none"/>
                <w:u w:val="single"/>
                <w:vertAlign w:val="superscript"/>
              </w:rPr>
              <w:t>3</w:t>
            </w:r>
            <w:r>
              <w:rPr>
                <w:rFonts w:ascii="Times New Roman" w:hAnsi="Times New Roman" w:eastAsia="宋体"/>
                <w:color w:val="000000"/>
                <w:sz w:val="24"/>
                <w:szCs w:val="21"/>
                <w:highlight w:val="none"/>
                <w:u w:val="single"/>
              </w:rPr>
              <w:t>/h</w:t>
            </w:r>
            <w:r>
              <w:rPr>
                <w:rFonts w:hint="eastAsia" w:ascii="Times New Roman" w:hAnsi="Times New Roman" w:eastAsia="宋体"/>
                <w:color w:val="000000"/>
                <w:szCs w:val="21"/>
                <w:highlight w:val="none"/>
                <w:u w:val="single"/>
              </w:rPr>
              <w:t>、</w:t>
            </w:r>
            <w:r>
              <w:rPr>
                <w:rFonts w:hint="eastAsia" w:ascii="Times New Roman" w:hAnsi="Times New Roman" w:eastAsia="宋体"/>
                <w:color w:val="000000"/>
                <w:szCs w:val="21"/>
                <w:highlight w:val="none"/>
                <w:u w:val="single"/>
                <w:lang w:val="en-US" w:eastAsia="zh-CN"/>
              </w:rPr>
              <w:t>PN16;过滤精度不低于20μm,过滤器初始阻力不宜大于70kPa，滤芯材质为304不锈钢丝网</w:t>
            </w:r>
          </w:p>
        </w:tc>
        <w:tc>
          <w:tcPr>
            <w:tcW w:w="745" w:type="dxa"/>
            <w:vAlign w:val="center"/>
          </w:tcPr>
          <w:p w14:paraId="604B7233">
            <w:pPr>
              <w:adjustRightInd w:val="0"/>
              <w:snapToGrid w:val="0"/>
              <w:spacing w:line="360" w:lineRule="auto"/>
              <w:jc w:val="center"/>
              <w:rPr>
                <w:rFonts w:ascii="Times New Roman" w:hAnsi="Times New Roman" w:eastAsia="宋体"/>
                <w:color w:val="000000"/>
                <w:szCs w:val="21"/>
                <w:highlight w:val="none"/>
                <w:u w:val="single"/>
              </w:rPr>
            </w:pPr>
            <w:r>
              <w:rPr>
                <w:rFonts w:ascii="Times New Roman" w:hAnsi="Times New Roman" w:eastAsia="宋体"/>
                <w:color w:val="000000"/>
                <w:szCs w:val="21"/>
                <w:highlight w:val="none"/>
                <w:u w:val="single"/>
              </w:rPr>
              <w:t>台</w:t>
            </w:r>
          </w:p>
        </w:tc>
        <w:tc>
          <w:tcPr>
            <w:tcW w:w="973" w:type="dxa"/>
            <w:vAlign w:val="center"/>
          </w:tcPr>
          <w:p w14:paraId="5877D4DD">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2</w:t>
            </w:r>
          </w:p>
        </w:tc>
        <w:tc>
          <w:tcPr>
            <w:tcW w:w="752" w:type="dxa"/>
            <w:vAlign w:val="center"/>
          </w:tcPr>
          <w:p w14:paraId="42777CBA">
            <w:pPr>
              <w:adjustRightInd w:val="0"/>
              <w:snapToGrid w:val="0"/>
              <w:spacing w:line="360" w:lineRule="auto"/>
              <w:jc w:val="center"/>
              <w:rPr>
                <w:rFonts w:ascii="Times New Roman" w:hAnsi="Times New Roman" w:eastAsia="宋体" w:cs="Arial"/>
                <w:szCs w:val="21"/>
                <w:highlight w:val="none"/>
              </w:rPr>
            </w:pPr>
          </w:p>
        </w:tc>
      </w:tr>
      <w:tr w14:paraId="2E53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Align w:val="center"/>
          </w:tcPr>
          <w:p w14:paraId="2A7557C7">
            <w:pPr>
              <w:adjustRightInd w:val="0"/>
              <w:snapToGrid w:val="0"/>
              <w:spacing w:line="360" w:lineRule="auto"/>
              <w:jc w:val="center"/>
              <w:rPr>
                <w:rFonts w:ascii="Times New Roman" w:hAnsi="Times New Roman" w:eastAsia="宋体" w:cs="Arial"/>
                <w:szCs w:val="21"/>
                <w:highlight w:val="none"/>
              </w:rPr>
            </w:pPr>
            <w:r>
              <w:rPr>
                <w:rFonts w:hint="eastAsia" w:ascii="Times New Roman" w:hAnsi="Times New Roman" w:eastAsia="宋体" w:cs="Arial"/>
                <w:szCs w:val="21"/>
                <w:highlight w:val="none"/>
              </w:rPr>
              <w:t>2</w:t>
            </w:r>
          </w:p>
        </w:tc>
        <w:tc>
          <w:tcPr>
            <w:tcW w:w="2258" w:type="dxa"/>
            <w:vAlign w:val="center"/>
          </w:tcPr>
          <w:p w14:paraId="752F13AF">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流量计</w:t>
            </w:r>
          </w:p>
        </w:tc>
        <w:tc>
          <w:tcPr>
            <w:tcW w:w="3101" w:type="dxa"/>
            <w:vAlign w:val="center"/>
          </w:tcPr>
          <w:p w14:paraId="5635FBDB">
            <w:pPr>
              <w:spacing w:beforeLines="0" w:afterLines="0"/>
              <w:jc w:val="left"/>
              <w:rPr>
                <w:rFonts w:hint="eastAsia" w:ascii="Times New Roman" w:hAnsi="Times New Roman" w:eastAsia="宋体"/>
                <w:color w:val="FF0000"/>
                <w:sz w:val="24"/>
                <w:szCs w:val="24"/>
              </w:rPr>
            </w:pPr>
            <w:r>
              <w:rPr>
                <w:rFonts w:hint="eastAsia" w:ascii="Times New Roman" w:hAnsi="Times New Roman" w:eastAsia="宋体"/>
                <w:color w:val="FF0000"/>
                <w:sz w:val="24"/>
                <w:szCs w:val="24"/>
              </w:rPr>
              <w:t>中压计量，两台IC卡</w:t>
            </w:r>
            <w:r>
              <w:rPr>
                <w:rFonts w:hint="eastAsia"/>
                <w:color w:val="FF0000"/>
                <w:sz w:val="24"/>
                <w:szCs w:val="24"/>
                <w:lang w:val="en-US" w:eastAsia="zh-CN"/>
              </w:rPr>
              <w:t>全量程</w:t>
            </w:r>
            <w:r>
              <w:rPr>
                <w:rFonts w:hint="eastAsia" w:ascii="Times New Roman" w:hAnsi="Times New Roman" w:eastAsia="宋体"/>
                <w:color w:val="FF0000"/>
                <w:sz w:val="24"/>
                <w:szCs w:val="24"/>
              </w:rPr>
              <w:t>，物联网功能，1.0级 1.6Mpa DN</w:t>
            </w:r>
            <w:r>
              <w:rPr>
                <w:rFonts w:hint="eastAsia"/>
                <w:color w:val="FF0000"/>
                <w:sz w:val="24"/>
                <w:szCs w:val="24"/>
                <w:lang w:val="en-US" w:eastAsia="zh-CN"/>
              </w:rPr>
              <w:t>1</w:t>
            </w:r>
            <w:r>
              <w:rPr>
                <w:rFonts w:hint="eastAsia" w:ascii="Times New Roman" w:hAnsi="Times New Roman" w:eastAsia="宋体"/>
                <w:color w:val="FF0000"/>
                <w:sz w:val="24"/>
                <w:szCs w:val="24"/>
              </w:rPr>
              <w:t>00，流量范围10-2500m</w:t>
            </w:r>
            <w:r>
              <w:rPr>
                <w:rFonts w:hint="eastAsia" w:ascii="Times New Roman" w:hAnsi="Times New Roman" w:eastAsia="宋体"/>
                <w:color w:val="FF0000"/>
                <w:sz w:val="17"/>
                <w:szCs w:val="24"/>
              </w:rPr>
              <w:t>3/</w:t>
            </w:r>
            <w:r>
              <w:rPr>
                <w:rFonts w:hint="eastAsia" w:ascii="Times New Roman" w:hAnsi="Times New Roman" w:eastAsia="宋体"/>
                <w:color w:val="FF0000"/>
                <w:sz w:val="24"/>
                <w:szCs w:val="24"/>
              </w:rPr>
              <w:t>/h。一用一备。安装要求：水平安装，前直管段＞</w:t>
            </w:r>
            <w:r>
              <w:rPr>
                <w:rFonts w:hint="eastAsia"/>
                <w:color w:val="FF0000"/>
                <w:sz w:val="24"/>
                <w:szCs w:val="24"/>
                <w:lang w:val="en-US" w:eastAsia="zh-CN"/>
              </w:rPr>
              <w:t>5</w:t>
            </w:r>
            <w:r>
              <w:rPr>
                <w:rFonts w:hint="eastAsia" w:ascii="Times New Roman" w:hAnsi="Times New Roman" w:eastAsia="宋体"/>
                <w:color w:val="FF0000"/>
                <w:sz w:val="24"/>
                <w:szCs w:val="24"/>
              </w:rPr>
              <w:t>D,后直管段＞5D，配过滤器、物联网控制器；调压前计量。</w:t>
            </w:r>
          </w:p>
          <w:p w14:paraId="529E82D8">
            <w:pPr>
              <w:adjustRightInd w:val="0"/>
              <w:snapToGrid w:val="0"/>
              <w:spacing w:line="360" w:lineRule="auto"/>
              <w:jc w:val="center"/>
              <w:rPr>
                <w:rFonts w:ascii="Times New Roman" w:hAnsi="Times New Roman" w:eastAsia="宋体"/>
                <w:color w:val="000000"/>
                <w:szCs w:val="21"/>
                <w:highlight w:val="none"/>
                <w:u w:val="single"/>
              </w:rPr>
            </w:pPr>
          </w:p>
        </w:tc>
        <w:tc>
          <w:tcPr>
            <w:tcW w:w="745" w:type="dxa"/>
            <w:vAlign w:val="center"/>
          </w:tcPr>
          <w:p w14:paraId="7E4820A0">
            <w:pPr>
              <w:adjustRightInd w:val="0"/>
              <w:snapToGrid w:val="0"/>
              <w:spacing w:line="360" w:lineRule="auto"/>
              <w:jc w:val="center"/>
              <w:rPr>
                <w:rFonts w:ascii="Times New Roman" w:hAnsi="Times New Roman" w:eastAsia="宋体"/>
                <w:color w:val="000000"/>
                <w:szCs w:val="21"/>
                <w:highlight w:val="none"/>
                <w:u w:val="single"/>
              </w:rPr>
            </w:pPr>
            <w:r>
              <w:rPr>
                <w:rFonts w:ascii="Times New Roman" w:hAnsi="Times New Roman" w:eastAsia="宋体"/>
                <w:color w:val="000000"/>
                <w:szCs w:val="21"/>
                <w:highlight w:val="none"/>
                <w:u w:val="single"/>
              </w:rPr>
              <w:t>台</w:t>
            </w:r>
          </w:p>
        </w:tc>
        <w:tc>
          <w:tcPr>
            <w:tcW w:w="973" w:type="dxa"/>
            <w:vAlign w:val="center"/>
          </w:tcPr>
          <w:p w14:paraId="26A1A915">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2</w:t>
            </w:r>
          </w:p>
        </w:tc>
        <w:tc>
          <w:tcPr>
            <w:tcW w:w="752" w:type="dxa"/>
            <w:vAlign w:val="center"/>
          </w:tcPr>
          <w:p w14:paraId="5019A363">
            <w:pPr>
              <w:spacing w:beforeLines="0" w:afterLines="0"/>
              <w:jc w:val="left"/>
              <w:rPr>
                <w:rFonts w:hint="eastAsia" w:ascii="Times New Roman" w:hAnsi="Times New Roman" w:eastAsia="宋体"/>
                <w:color w:val="FF0000"/>
                <w:sz w:val="24"/>
                <w:szCs w:val="24"/>
              </w:rPr>
            </w:pPr>
            <w:r>
              <w:rPr>
                <w:rFonts w:hint="eastAsia" w:ascii="Times New Roman" w:hAnsi="Times New Roman" w:eastAsia="宋体"/>
                <w:color w:val="FF0000"/>
                <w:sz w:val="24"/>
                <w:szCs w:val="24"/>
              </w:rPr>
              <w:t>安装要求以流量计厂家为准</w:t>
            </w:r>
          </w:p>
          <w:p w14:paraId="2416B146">
            <w:pPr>
              <w:adjustRightInd w:val="0"/>
              <w:snapToGrid w:val="0"/>
              <w:spacing w:line="360" w:lineRule="auto"/>
              <w:jc w:val="center"/>
              <w:rPr>
                <w:rFonts w:ascii="Times New Roman" w:hAnsi="Times New Roman" w:eastAsia="宋体" w:cs="Arial"/>
                <w:szCs w:val="21"/>
                <w:highlight w:val="none"/>
              </w:rPr>
            </w:pPr>
          </w:p>
        </w:tc>
      </w:tr>
      <w:tr w14:paraId="0C52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Merge w:val="restart"/>
            <w:vAlign w:val="center"/>
          </w:tcPr>
          <w:p w14:paraId="30BB5D85">
            <w:pPr>
              <w:adjustRightInd w:val="0"/>
              <w:snapToGrid w:val="0"/>
              <w:spacing w:line="360" w:lineRule="auto"/>
              <w:jc w:val="center"/>
              <w:rPr>
                <w:rFonts w:ascii="Times New Roman" w:hAnsi="Times New Roman" w:eastAsia="宋体" w:cs="Arial"/>
                <w:szCs w:val="21"/>
                <w:highlight w:val="none"/>
              </w:rPr>
            </w:pPr>
            <w:r>
              <w:rPr>
                <w:rFonts w:hint="eastAsia" w:ascii="Times New Roman" w:hAnsi="Times New Roman" w:eastAsia="宋体" w:cs="Arial"/>
                <w:szCs w:val="21"/>
                <w:highlight w:val="none"/>
              </w:rPr>
              <w:t>3</w:t>
            </w:r>
          </w:p>
        </w:tc>
        <w:tc>
          <w:tcPr>
            <w:tcW w:w="2258" w:type="dxa"/>
            <w:vAlign w:val="center"/>
          </w:tcPr>
          <w:p w14:paraId="306A800D">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超压切断阀</w:t>
            </w:r>
          </w:p>
        </w:tc>
        <w:tc>
          <w:tcPr>
            <w:tcW w:w="3101" w:type="dxa"/>
            <w:vAlign w:val="center"/>
          </w:tcPr>
          <w:p w14:paraId="05AD0051">
            <w:pPr>
              <w:adjustRightInd w:val="0"/>
              <w:snapToGrid w:val="0"/>
              <w:spacing w:line="360" w:lineRule="auto"/>
              <w:ind w:firstLine="105" w:firstLineChars="50"/>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安全切断阀规模≥</w:t>
            </w:r>
            <w:r>
              <w:rPr>
                <w:rFonts w:hint="eastAsia"/>
                <w:color w:val="000000"/>
                <w:sz w:val="24"/>
                <w:szCs w:val="21"/>
                <w:highlight w:val="none"/>
                <w:u w:val="single"/>
                <w:lang w:val="en-US" w:eastAsia="zh-CN"/>
              </w:rPr>
              <w:t>33</w:t>
            </w:r>
            <w:r>
              <w:rPr>
                <w:rFonts w:hint="eastAsia" w:ascii="Times New Roman" w:hAnsi="Times New Roman" w:eastAsia="宋体"/>
                <w:color w:val="000000"/>
                <w:sz w:val="24"/>
                <w:szCs w:val="21"/>
                <w:highlight w:val="none"/>
                <w:u w:val="single"/>
                <w:lang w:val="en-US" w:eastAsia="zh-CN"/>
              </w:rPr>
              <w:t>00</w:t>
            </w:r>
            <w:r>
              <w:rPr>
                <w:rFonts w:hint="eastAsia" w:ascii="Times New Roman" w:hAnsi="Times New Roman" w:eastAsia="宋体"/>
                <w:color w:val="000000"/>
                <w:sz w:val="24"/>
                <w:szCs w:val="21"/>
                <w:highlight w:val="none"/>
                <w:u w:val="single"/>
              </w:rPr>
              <w:t>N</w:t>
            </w:r>
            <w:r>
              <w:rPr>
                <w:rFonts w:ascii="Times New Roman" w:hAnsi="Times New Roman" w:eastAsia="宋体"/>
                <w:color w:val="000000"/>
                <w:sz w:val="24"/>
                <w:szCs w:val="21"/>
                <w:highlight w:val="none"/>
                <w:u w:val="single"/>
              </w:rPr>
              <w:t>m</w:t>
            </w:r>
            <w:r>
              <w:rPr>
                <w:rFonts w:ascii="Times New Roman" w:hAnsi="Times New Roman" w:eastAsia="宋体"/>
                <w:color w:val="000000"/>
                <w:sz w:val="24"/>
                <w:szCs w:val="21"/>
                <w:highlight w:val="none"/>
                <w:u w:val="single"/>
                <w:vertAlign w:val="superscript"/>
              </w:rPr>
              <w:t>3</w:t>
            </w:r>
            <w:r>
              <w:rPr>
                <w:rFonts w:ascii="Times New Roman" w:hAnsi="Times New Roman" w:eastAsia="宋体"/>
                <w:color w:val="000000"/>
                <w:sz w:val="24"/>
                <w:szCs w:val="21"/>
                <w:highlight w:val="none"/>
                <w:u w:val="single"/>
              </w:rPr>
              <w:t>/h</w:t>
            </w:r>
            <w:r>
              <w:rPr>
                <w:rFonts w:hint="eastAsia" w:ascii="Times New Roman" w:hAnsi="Times New Roman" w:eastAsia="宋体"/>
                <w:color w:val="000000"/>
                <w:szCs w:val="21"/>
                <w:highlight w:val="none"/>
                <w:u w:val="single"/>
              </w:rPr>
              <w:t>，进口压力：</w:t>
            </w:r>
            <w:r>
              <w:rPr>
                <w:rFonts w:hint="eastAsia"/>
                <w:color w:val="000000"/>
                <w:szCs w:val="21"/>
                <w:highlight w:val="none"/>
                <w:u w:val="single"/>
                <w:lang w:val="en-US" w:eastAsia="zh-CN"/>
              </w:rPr>
              <w:t>0.8</w:t>
            </w:r>
            <w:r>
              <w:rPr>
                <w:rFonts w:hint="eastAsia" w:ascii="Times New Roman" w:hAnsi="Times New Roman" w:eastAsia="宋体"/>
                <w:color w:val="000000"/>
                <w:szCs w:val="21"/>
                <w:highlight w:val="none"/>
                <w:u w:val="single"/>
              </w:rPr>
              <w:t>~</w:t>
            </w:r>
            <w:r>
              <w:rPr>
                <w:rFonts w:hint="eastAsia"/>
                <w:color w:val="000000"/>
                <w:szCs w:val="21"/>
                <w:highlight w:val="none"/>
                <w:u w:val="single"/>
                <w:lang w:val="en-US" w:eastAsia="zh-CN"/>
              </w:rPr>
              <w:t>1.4</w:t>
            </w:r>
            <w:r>
              <w:rPr>
                <w:rFonts w:hint="eastAsia" w:ascii="Times New Roman" w:hAnsi="Times New Roman" w:eastAsia="宋体"/>
                <w:color w:val="000000"/>
                <w:szCs w:val="21"/>
                <w:highlight w:val="none"/>
                <w:u w:val="single"/>
              </w:rPr>
              <w:t>MPa切断阀为自力式，采用人工复位，切断阀响应时间不应超过1秒</w:t>
            </w:r>
            <w:r>
              <w:rPr>
                <w:rFonts w:hint="eastAsia" w:ascii="Times New Roman" w:hAnsi="Times New Roman" w:eastAsia="宋体"/>
                <w:color w:val="000000"/>
                <w:szCs w:val="21"/>
                <w:highlight w:val="none"/>
                <w:u w:val="single"/>
                <w:lang w:eastAsia="zh-CN"/>
              </w:rPr>
              <w:t>，</w:t>
            </w:r>
            <w:r>
              <w:rPr>
                <w:rFonts w:hint="eastAsia" w:ascii="Times New Roman" w:hAnsi="Times New Roman" w:eastAsia="宋体"/>
                <w:color w:val="000000"/>
                <w:szCs w:val="21"/>
                <w:highlight w:val="none"/>
                <w:u w:val="single"/>
                <w:lang w:val="en-US" w:eastAsia="zh-CN"/>
              </w:rPr>
              <w:t>带阀位反馈功能</w:t>
            </w:r>
          </w:p>
        </w:tc>
        <w:tc>
          <w:tcPr>
            <w:tcW w:w="745" w:type="dxa"/>
            <w:vAlign w:val="center"/>
          </w:tcPr>
          <w:p w14:paraId="31A1FA34">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个</w:t>
            </w:r>
          </w:p>
        </w:tc>
        <w:tc>
          <w:tcPr>
            <w:tcW w:w="973" w:type="dxa"/>
            <w:vAlign w:val="center"/>
          </w:tcPr>
          <w:p w14:paraId="606DBDB3">
            <w:pPr>
              <w:adjustRightInd w:val="0"/>
              <w:snapToGrid w:val="0"/>
              <w:spacing w:line="360" w:lineRule="auto"/>
              <w:jc w:val="center"/>
              <w:rPr>
                <w:rFonts w:ascii="Times New Roman" w:hAnsi="Times New Roman" w:eastAsia="宋体"/>
                <w:color w:val="000000"/>
                <w:szCs w:val="21"/>
                <w:highlight w:val="none"/>
                <w:u w:val="single"/>
              </w:rPr>
            </w:pPr>
            <w:r>
              <w:rPr>
                <w:rFonts w:hint="eastAsia"/>
                <w:color w:val="000000"/>
                <w:szCs w:val="21"/>
                <w:highlight w:val="none"/>
                <w:u w:val="single"/>
                <w:lang w:val="en-US" w:eastAsia="zh-CN"/>
              </w:rPr>
              <w:t>2</w:t>
            </w:r>
          </w:p>
        </w:tc>
        <w:tc>
          <w:tcPr>
            <w:tcW w:w="752" w:type="dxa"/>
            <w:vAlign w:val="center"/>
          </w:tcPr>
          <w:p w14:paraId="55D0A3D9">
            <w:pPr>
              <w:adjustRightInd w:val="0"/>
              <w:snapToGrid w:val="0"/>
              <w:spacing w:line="360" w:lineRule="auto"/>
              <w:jc w:val="center"/>
              <w:rPr>
                <w:rFonts w:ascii="Times New Roman" w:hAnsi="Times New Roman" w:eastAsia="宋体" w:cs="Arial"/>
                <w:szCs w:val="21"/>
                <w:highlight w:val="none"/>
              </w:rPr>
            </w:pPr>
            <w:r>
              <w:rPr>
                <w:rFonts w:hint="eastAsia" w:ascii="Times New Roman" w:hAnsi="Times New Roman" w:eastAsia="宋体" w:cs="Arial"/>
                <w:szCs w:val="21"/>
                <w:highlight w:val="none"/>
              </w:rPr>
              <w:t>切断精度等级为：AQ1</w:t>
            </w:r>
          </w:p>
        </w:tc>
      </w:tr>
      <w:tr w14:paraId="5593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Merge w:val="continue"/>
            <w:tcBorders/>
            <w:vAlign w:val="center"/>
          </w:tcPr>
          <w:p w14:paraId="0F3661E4">
            <w:pPr>
              <w:adjustRightInd w:val="0"/>
              <w:snapToGrid w:val="0"/>
              <w:spacing w:line="360" w:lineRule="auto"/>
              <w:jc w:val="center"/>
              <w:rPr>
                <w:rFonts w:hint="eastAsia" w:ascii="Times New Roman" w:hAnsi="Times New Roman" w:eastAsia="宋体" w:cs="Arial"/>
                <w:szCs w:val="21"/>
                <w:highlight w:val="none"/>
                <w:lang w:val="en-US" w:eastAsia="zh-CN"/>
              </w:rPr>
            </w:pPr>
          </w:p>
        </w:tc>
        <w:tc>
          <w:tcPr>
            <w:tcW w:w="2258" w:type="dxa"/>
            <w:shd w:val="clear"/>
            <w:vAlign w:val="center"/>
          </w:tcPr>
          <w:p w14:paraId="4276E54D">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ascii="Times New Roman" w:hAnsi="Times New Roman" w:eastAsia="宋体"/>
                <w:color w:val="000000"/>
                <w:szCs w:val="21"/>
                <w:highlight w:val="none"/>
                <w:u w:val="single"/>
              </w:rPr>
              <w:t>超压切断阀</w:t>
            </w:r>
          </w:p>
        </w:tc>
        <w:tc>
          <w:tcPr>
            <w:tcW w:w="3101" w:type="dxa"/>
            <w:shd w:val="clear"/>
            <w:vAlign w:val="center"/>
          </w:tcPr>
          <w:p w14:paraId="45133E83">
            <w:pPr>
              <w:adjustRightInd w:val="0"/>
              <w:snapToGrid w:val="0"/>
              <w:spacing w:line="360" w:lineRule="auto"/>
              <w:ind w:firstLine="105" w:firstLineChars="50"/>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ascii="Times New Roman" w:hAnsi="Times New Roman" w:eastAsia="宋体"/>
                <w:color w:val="000000"/>
                <w:szCs w:val="21"/>
                <w:highlight w:val="none"/>
                <w:u w:val="single"/>
              </w:rPr>
              <w:t>安全切断阀规模≥</w:t>
            </w:r>
            <w:r>
              <w:rPr>
                <w:rFonts w:hint="eastAsia"/>
                <w:color w:val="000000"/>
                <w:sz w:val="24"/>
                <w:szCs w:val="21"/>
                <w:highlight w:val="none"/>
                <w:u w:val="single"/>
                <w:lang w:val="en-US" w:eastAsia="zh-CN"/>
              </w:rPr>
              <w:t>33</w:t>
            </w:r>
            <w:r>
              <w:rPr>
                <w:rFonts w:hint="eastAsia" w:ascii="Times New Roman" w:hAnsi="Times New Roman" w:eastAsia="宋体"/>
                <w:color w:val="000000"/>
                <w:sz w:val="24"/>
                <w:szCs w:val="21"/>
                <w:highlight w:val="none"/>
                <w:u w:val="single"/>
                <w:lang w:val="en-US" w:eastAsia="zh-CN"/>
              </w:rPr>
              <w:t>00</w:t>
            </w:r>
            <w:r>
              <w:rPr>
                <w:rFonts w:hint="eastAsia" w:ascii="Times New Roman" w:hAnsi="Times New Roman" w:eastAsia="宋体"/>
                <w:color w:val="000000"/>
                <w:sz w:val="24"/>
                <w:szCs w:val="21"/>
                <w:highlight w:val="none"/>
                <w:u w:val="single"/>
              </w:rPr>
              <w:t>N</w:t>
            </w:r>
            <w:r>
              <w:rPr>
                <w:rFonts w:ascii="Times New Roman" w:hAnsi="Times New Roman" w:eastAsia="宋体"/>
                <w:color w:val="000000"/>
                <w:sz w:val="24"/>
                <w:szCs w:val="21"/>
                <w:highlight w:val="none"/>
                <w:u w:val="single"/>
              </w:rPr>
              <w:t>m</w:t>
            </w:r>
            <w:r>
              <w:rPr>
                <w:rFonts w:ascii="Times New Roman" w:hAnsi="Times New Roman" w:eastAsia="宋体"/>
                <w:color w:val="000000"/>
                <w:sz w:val="24"/>
                <w:szCs w:val="21"/>
                <w:highlight w:val="none"/>
                <w:u w:val="single"/>
                <w:vertAlign w:val="superscript"/>
              </w:rPr>
              <w:t>3</w:t>
            </w:r>
            <w:r>
              <w:rPr>
                <w:rFonts w:ascii="Times New Roman" w:hAnsi="Times New Roman" w:eastAsia="宋体"/>
                <w:color w:val="000000"/>
                <w:sz w:val="24"/>
                <w:szCs w:val="21"/>
                <w:highlight w:val="none"/>
                <w:u w:val="single"/>
              </w:rPr>
              <w:t>/h</w:t>
            </w:r>
            <w:r>
              <w:rPr>
                <w:rFonts w:hint="eastAsia" w:ascii="Times New Roman" w:hAnsi="Times New Roman" w:eastAsia="宋体"/>
                <w:color w:val="000000"/>
                <w:szCs w:val="21"/>
                <w:highlight w:val="none"/>
                <w:u w:val="single"/>
              </w:rPr>
              <w:t>，进口压力：</w:t>
            </w:r>
            <w:r>
              <w:rPr>
                <w:rFonts w:hint="eastAsia"/>
                <w:color w:val="000000"/>
                <w:szCs w:val="21"/>
                <w:highlight w:val="none"/>
                <w:u w:val="single"/>
                <w:lang w:val="en-US" w:eastAsia="zh-CN"/>
              </w:rPr>
              <w:t>0.3</w:t>
            </w:r>
            <w:r>
              <w:rPr>
                <w:rFonts w:hint="eastAsia" w:ascii="Times New Roman" w:hAnsi="Times New Roman" w:eastAsia="宋体"/>
                <w:color w:val="000000"/>
                <w:szCs w:val="21"/>
                <w:highlight w:val="none"/>
                <w:u w:val="single"/>
              </w:rPr>
              <w:t>~</w:t>
            </w:r>
            <w:r>
              <w:rPr>
                <w:rFonts w:hint="eastAsia"/>
                <w:color w:val="000000"/>
                <w:szCs w:val="21"/>
                <w:highlight w:val="none"/>
                <w:u w:val="single"/>
                <w:lang w:val="en-US" w:eastAsia="zh-CN"/>
              </w:rPr>
              <w:t>0.36</w:t>
            </w:r>
            <w:r>
              <w:rPr>
                <w:rFonts w:hint="eastAsia" w:ascii="Times New Roman" w:hAnsi="Times New Roman" w:eastAsia="宋体"/>
                <w:color w:val="000000"/>
                <w:szCs w:val="21"/>
                <w:highlight w:val="none"/>
                <w:u w:val="single"/>
              </w:rPr>
              <w:t>MPa切断阀为自力式，采用人工复位，切断阀响应时间不应超过1秒</w:t>
            </w:r>
            <w:r>
              <w:rPr>
                <w:rFonts w:hint="eastAsia" w:ascii="Times New Roman" w:hAnsi="Times New Roman" w:eastAsia="宋体"/>
                <w:color w:val="000000"/>
                <w:szCs w:val="21"/>
                <w:highlight w:val="none"/>
                <w:u w:val="single"/>
                <w:lang w:eastAsia="zh-CN"/>
              </w:rPr>
              <w:t>，</w:t>
            </w:r>
            <w:r>
              <w:rPr>
                <w:rFonts w:hint="eastAsia" w:ascii="Times New Roman" w:hAnsi="Times New Roman" w:eastAsia="宋体"/>
                <w:color w:val="000000"/>
                <w:szCs w:val="21"/>
                <w:highlight w:val="none"/>
                <w:u w:val="single"/>
                <w:lang w:val="en-US" w:eastAsia="zh-CN"/>
              </w:rPr>
              <w:t>带阀位反馈功能</w:t>
            </w:r>
          </w:p>
        </w:tc>
        <w:tc>
          <w:tcPr>
            <w:tcW w:w="745" w:type="dxa"/>
            <w:shd w:val="clear"/>
            <w:vAlign w:val="center"/>
          </w:tcPr>
          <w:p w14:paraId="7AC601D3">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ascii="Times New Roman" w:hAnsi="Times New Roman" w:eastAsia="宋体"/>
                <w:color w:val="000000"/>
                <w:szCs w:val="21"/>
                <w:highlight w:val="none"/>
                <w:u w:val="single"/>
              </w:rPr>
              <w:t>个</w:t>
            </w:r>
          </w:p>
        </w:tc>
        <w:tc>
          <w:tcPr>
            <w:tcW w:w="973" w:type="dxa"/>
            <w:shd w:val="clear"/>
            <w:vAlign w:val="center"/>
          </w:tcPr>
          <w:p w14:paraId="0CB1B760">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color w:val="000000"/>
                <w:szCs w:val="21"/>
                <w:highlight w:val="none"/>
                <w:u w:val="single"/>
                <w:lang w:val="en-US" w:eastAsia="zh-CN"/>
              </w:rPr>
              <w:t>2</w:t>
            </w:r>
          </w:p>
        </w:tc>
        <w:tc>
          <w:tcPr>
            <w:tcW w:w="752" w:type="dxa"/>
            <w:shd w:val="clear"/>
            <w:vAlign w:val="center"/>
          </w:tcPr>
          <w:p w14:paraId="3E09D793">
            <w:pPr>
              <w:adjustRightInd w:val="0"/>
              <w:snapToGrid w:val="0"/>
              <w:spacing w:line="360" w:lineRule="auto"/>
              <w:jc w:val="center"/>
              <w:rPr>
                <w:rFonts w:hint="eastAsia" w:ascii="Times New Roman" w:hAnsi="Times New Roman" w:eastAsia="宋体" w:cs="Arial"/>
                <w:kern w:val="2"/>
                <w:sz w:val="21"/>
                <w:szCs w:val="21"/>
                <w:highlight w:val="none"/>
                <w:lang w:val="en-US" w:eastAsia="zh-CN" w:bidi="ar-SA"/>
              </w:rPr>
            </w:pPr>
            <w:r>
              <w:rPr>
                <w:rFonts w:hint="eastAsia" w:ascii="Times New Roman" w:hAnsi="Times New Roman" w:eastAsia="宋体" w:cs="Arial"/>
                <w:szCs w:val="21"/>
                <w:highlight w:val="none"/>
              </w:rPr>
              <w:t>切断精度等级为：AQ1</w:t>
            </w:r>
          </w:p>
        </w:tc>
      </w:tr>
      <w:tr w14:paraId="029C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Merge w:val="restart"/>
            <w:shd w:val="clear" w:color="auto" w:fill="auto"/>
            <w:vAlign w:val="center"/>
          </w:tcPr>
          <w:p w14:paraId="21F91BC6">
            <w:pPr>
              <w:adjustRightInd w:val="0"/>
              <w:snapToGrid w:val="0"/>
              <w:spacing w:line="360" w:lineRule="auto"/>
              <w:jc w:val="center"/>
              <w:rPr>
                <w:rFonts w:hint="eastAsia" w:ascii="Times New Roman" w:hAnsi="Times New Roman" w:eastAsia="宋体" w:cs="Arial"/>
                <w:kern w:val="2"/>
                <w:sz w:val="21"/>
                <w:szCs w:val="21"/>
                <w:highlight w:val="none"/>
                <w:lang w:val="en-US" w:eastAsia="zh-CN" w:bidi="ar-SA"/>
              </w:rPr>
            </w:pPr>
            <w:r>
              <w:rPr>
                <w:rFonts w:hint="eastAsia" w:cs="Arial"/>
                <w:szCs w:val="21"/>
                <w:highlight w:val="none"/>
                <w:lang w:val="en-US" w:eastAsia="zh-CN"/>
              </w:rPr>
              <w:t>4</w:t>
            </w:r>
          </w:p>
        </w:tc>
        <w:tc>
          <w:tcPr>
            <w:tcW w:w="2258" w:type="dxa"/>
            <w:shd w:val="clear" w:color="auto" w:fill="auto"/>
            <w:vAlign w:val="center"/>
          </w:tcPr>
          <w:p w14:paraId="3BFBC1DB">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ascii="Times New Roman" w:hAnsi="Times New Roman" w:eastAsia="宋体"/>
                <w:color w:val="000000"/>
                <w:szCs w:val="21"/>
                <w:highlight w:val="none"/>
                <w:u w:val="single"/>
              </w:rPr>
              <w:t>主调压器及其附件</w:t>
            </w:r>
          </w:p>
        </w:tc>
        <w:tc>
          <w:tcPr>
            <w:tcW w:w="3101" w:type="dxa"/>
            <w:shd w:val="clear" w:color="auto" w:fill="auto"/>
            <w:vAlign w:val="center"/>
          </w:tcPr>
          <w:p w14:paraId="5965C064">
            <w:pPr>
              <w:adjustRightInd w:val="0"/>
              <w:snapToGrid w:val="0"/>
              <w:spacing w:line="360" w:lineRule="auto"/>
              <w:ind w:firstLine="105" w:firstLineChars="50"/>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ascii="Times New Roman" w:hAnsi="Times New Roman" w:eastAsia="宋体"/>
                <w:color w:val="auto"/>
                <w:szCs w:val="21"/>
                <w:highlight w:val="none"/>
                <w:u w:val="single"/>
              </w:rPr>
              <w:t>调压器</w:t>
            </w:r>
            <w:r>
              <w:rPr>
                <w:rFonts w:hint="eastAsia" w:ascii="Times New Roman" w:hAnsi="Times New Roman" w:eastAsia="宋体"/>
                <w:color w:val="auto"/>
                <w:szCs w:val="21"/>
                <w:highlight w:val="none"/>
                <w:u w:val="single"/>
                <w:lang w:val="en-US" w:eastAsia="zh-CN"/>
              </w:rPr>
              <w:t>单路</w:t>
            </w:r>
            <w:r>
              <w:rPr>
                <w:rFonts w:hint="eastAsia" w:ascii="Times New Roman" w:hAnsi="Times New Roman" w:eastAsia="宋体"/>
                <w:color w:val="auto"/>
                <w:szCs w:val="21"/>
                <w:highlight w:val="none"/>
                <w:u w:val="single"/>
              </w:rPr>
              <w:t>规模≥</w:t>
            </w:r>
            <w:r>
              <w:rPr>
                <w:rFonts w:hint="eastAsia"/>
                <w:color w:val="auto"/>
                <w:sz w:val="24"/>
                <w:szCs w:val="21"/>
                <w:highlight w:val="none"/>
                <w:u w:val="single"/>
                <w:lang w:val="en-US" w:eastAsia="zh-CN"/>
              </w:rPr>
              <w:t>4000</w:t>
            </w:r>
            <w:r>
              <w:rPr>
                <w:rFonts w:hint="eastAsia" w:ascii="Times New Roman" w:hAnsi="Times New Roman" w:eastAsia="宋体"/>
                <w:color w:val="auto"/>
                <w:sz w:val="24"/>
                <w:szCs w:val="21"/>
                <w:highlight w:val="none"/>
                <w:u w:val="single"/>
              </w:rPr>
              <w:t>N</w:t>
            </w:r>
            <w:r>
              <w:rPr>
                <w:rFonts w:ascii="Times New Roman" w:hAnsi="Times New Roman" w:eastAsia="宋体"/>
                <w:color w:val="auto"/>
                <w:sz w:val="24"/>
                <w:szCs w:val="21"/>
                <w:highlight w:val="none"/>
                <w:u w:val="single"/>
              </w:rPr>
              <w:t>m</w:t>
            </w:r>
            <w:r>
              <w:rPr>
                <w:rFonts w:ascii="Times New Roman" w:hAnsi="Times New Roman" w:eastAsia="宋体"/>
                <w:color w:val="auto"/>
                <w:sz w:val="24"/>
                <w:szCs w:val="21"/>
                <w:highlight w:val="none"/>
                <w:u w:val="single"/>
                <w:vertAlign w:val="superscript"/>
              </w:rPr>
              <w:t>3</w:t>
            </w:r>
            <w:r>
              <w:rPr>
                <w:rFonts w:ascii="Times New Roman" w:hAnsi="Times New Roman" w:eastAsia="宋体"/>
                <w:color w:val="auto"/>
                <w:sz w:val="24"/>
                <w:szCs w:val="21"/>
                <w:highlight w:val="none"/>
                <w:u w:val="single"/>
              </w:rPr>
              <w:t>/h</w:t>
            </w:r>
            <w:r>
              <w:rPr>
                <w:rFonts w:hint="eastAsia" w:ascii="Times New Roman" w:hAnsi="Times New Roman" w:eastAsia="宋体"/>
                <w:color w:val="auto"/>
                <w:szCs w:val="21"/>
                <w:highlight w:val="none"/>
                <w:u w:val="single"/>
              </w:rPr>
              <w:t>，</w:t>
            </w:r>
            <w:r>
              <w:rPr>
                <w:rFonts w:hint="eastAsia" w:ascii="Times New Roman" w:hAnsi="Times New Roman" w:eastAsia="宋体"/>
                <w:color w:val="000000"/>
                <w:szCs w:val="21"/>
                <w:highlight w:val="none"/>
                <w:u w:val="single"/>
              </w:rPr>
              <w:t>进口压力：</w:t>
            </w:r>
            <w:r>
              <w:rPr>
                <w:rFonts w:hint="eastAsia"/>
                <w:color w:val="000000"/>
                <w:szCs w:val="21"/>
                <w:highlight w:val="none"/>
                <w:u w:val="single"/>
                <w:lang w:val="en-US" w:eastAsia="zh-CN"/>
              </w:rPr>
              <w:t>0.8</w:t>
            </w:r>
            <w:r>
              <w:rPr>
                <w:rFonts w:hint="eastAsia" w:ascii="Times New Roman" w:hAnsi="Times New Roman" w:eastAsia="宋体"/>
                <w:color w:val="000000"/>
                <w:szCs w:val="21"/>
                <w:highlight w:val="none"/>
                <w:u w:val="single"/>
              </w:rPr>
              <w:t>~</w:t>
            </w:r>
            <w:r>
              <w:rPr>
                <w:rFonts w:hint="eastAsia"/>
                <w:color w:val="000000"/>
                <w:szCs w:val="21"/>
                <w:highlight w:val="none"/>
                <w:u w:val="single"/>
                <w:lang w:val="en-US" w:eastAsia="zh-CN"/>
              </w:rPr>
              <w:t>1.4</w:t>
            </w:r>
            <w:r>
              <w:rPr>
                <w:rFonts w:hint="eastAsia" w:ascii="Times New Roman" w:hAnsi="Times New Roman" w:eastAsia="宋体"/>
                <w:color w:val="000000"/>
                <w:szCs w:val="21"/>
                <w:highlight w:val="none"/>
                <w:u w:val="single"/>
              </w:rPr>
              <w:t>MPa</w:t>
            </w:r>
            <w:r>
              <w:rPr>
                <w:rFonts w:hint="eastAsia" w:ascii="Times New Roman" w:hAnsi="Times New Roman" w:eastAsia="宋体"/>
                <w:color w:val="000000"/>
                <w:szCs w:val="21"/>
                <w:highlight w:val="none"/>
                <w:u w:val="single"/>
                <w:lang w:val="en-US" w:eastAsia="zh-CN"/>
              </w:rPr>
              <w:t>;出口压力：0.</w:t>
            </w:r>
            <w:r>
              <w:rPr>
                <w:rFonts w:hint="eastAsia"/>
                <w:color w:val="000000"/>
                <w:szCs w:val="21"/>
                <w:highlight w:val="none"/>
                <w:u w:val="single"/>
                <w:lang w:val="en-US" w:eastAsia="zh-CN"/>
              </w:rPr>
              <w:t>3</w:t>
            </w:r>
            <w:r>
              <w:rPr>
                <w:rFonts w:hint="eastAsia" w:ascii="Times New Roman" w:hAnsi="Times New Roman" w:eastAsia="宋体"/>
                <w:color w:val="000000"/>
                <w:szCs w:val="21"/>
                <w:highlight w:val="none"/>
                <w:u w:val="single"/>
                <w:lang w:val="en-US" w:eastAsia="zh-CN"/>
              </w:rPr>
              <w:t>~0.</w:t>
            </w:r>
            <w:r>
              <w:rPr>
                <w:rFonts w:hint="eastAsia"/>
                <w:color w:val="000000"/>
                <w:szCs w:val="21"/>
                <w:highlight w:val="none"/>
                <w:u w:val="single"/>
                <w:lang w:val="en-US" w:eastAsia="zh-CN"/>
              </w:rPr>
              <w:t>36</w:t>
            </w:r>
            <w:r>
              <w:rPr>
                <w:rFonts w:hint="eastAsia" w:ascii="Times New Roman" w:hAnsi="Times New Roman" w:eastAsia="宋体"/>
                <w:color w:val="000000"/>
                <w:szCs w:val="21"/>
                <w:highlight w:val="none"/>
                <w:u w:val="single"/>
                <w:lang w:val="en-US" w:eastAsia="zh-CN"/>
              </w:rPr>
              <w:t>MPa，调压器稳压精度等级为AC5（±5%）；调压器关闭压力等级为SG5（最大允许相对增量5%)；调压器运行时噪声不应大于85dB（1米位置）</w:t>
            </w:r>
          </w:p>
        </w:tc>
        <w:tc>
          <w:tcPr>
            <w:tcW w:w="745" w:type="dxa"/>
            <w:shd w:val="clear" w:color="auto" w:fill="auto"/>
            <w:vAlign w:val="center"/>
          </w:tcPr>
          <w:p w14:paraId="3D4E6D81">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ascii="Times New Roman" w:hAnsi="Times New Roman" w:eastAsia="宋体"/>
                <w:color w:val="000000"/>
                <w:szCs w:val="21"/>
                <w:highlight w:val="none"/>
                <w:u w:val="single"/>
              </w:rPr>
              <w:t>个</w:t>
            </w:r>
          </w:p>
        </w:tc>
        <w:tc>
          <w:tcPr>
            <w:tcW w:w="973" w:type="dxa"/>
            <w:shd w:val="clear" w:color="auto" w:fill="auto"/>
            <w:vAlign w:val="center"/>
          </w:tcPr>
          <w:p w14:paraId="360B72D6">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color w:val="000000"/>
                <w:szCs w:val="21"/>
                <w:highlight w:val="none"/>
                <w:u w:val="single"/>
                <w:lang w:val="en-US" w:eastAsia="zh-CN"/>
              </w:rPr>
              <w:t>2</w:t>
            </w:r>
          </w:p>
        </w:tc>
        <w:tc>
          <w:tcPr>
            <w:tcW w:w="752" w:type="dxa"/>
            <w:shd w:val="clear" w:color="auto" w:fill="auto"/>
            <w:vAlign w:val="center"/>
          </w:tcPr>
          <w:p w14:paraId="04AF4C2E">
            <w:pPr>
              <w:adjustRightInd w:val="0"/>
              <w:snapToGrid w:val="0"/>
              <w:spacing w:line="360" w:lineRule="auto"/>
              <w:jc w:val="center"/>
              <w:rPr>
                <w:rFonts w:hint="eastAsia" w:ascii="Times New Roman" w:hAnsi="Times New Roman" w:eastAsia="宋体" w:cs="Arial"/>
                <w:kern w:val="2"/>
                <w:sz w:val="21"/>
                <w:szCs w:val="21"/>
                <w:highlight w:val="none"/>
                <w:lang w:val="en-US" w:eastAsia="zh-CN" w:bidi="ar-SA"/>
              </w:rPr>
            </w:pPr>
            <w:r>
              <w:rPr>
                <w:rFonts w:hint="eastAsia" w:ascii="Times New Roman" w:hAnsi="Times New Roman" w:eastAsia="宋体" w:cs="Arial"/>
                <w:szCs w:val="21"/>
                <w:highlight w:val="none"/>
              </w:rPr>
              <w:t>调压器带开度阀位反馈功能</w:t>
            </w:r>
          </w:p>
        </w:tc>
      </w:tr>
      <w:tr w14:paraId="1B4C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Merge w:val="continue"/>
            <w:tcBorders/>
            <w:shd w:val="clear" w:color="auto" w:fill="auto"/>
            <w:vAlign w:val="center"/>
          </w:tcPr>
          <w:p w14:paraId="0BCC01F7">
            <w:pPr>
              <w:adjustRightInd w:val="0"/>
              <w:snapToGrid w:val="0"/>
              <w:spacing w:line="360" w:lineRule="auto"/>
              <w:jc w:val="center"/>
              <w:rPr>
                <w:rFonts w:hint="default" w:ascii="Times New Roman" w:hAnsi="Times New Roman" w:eastAsia="宋体" w:cs="Arial"/>
                <w:kern w:val="2"/>
                <w:sz w:val="21"/>
                <w:szCs w:val="21"/>
                <w:highlight w:val="none"/>
                <w:lang w:val="en-US" w:eastAsia="zh-CN" w:bidi="ar-SA"/>
              </w:rPr>
            </w:pPr>
          </w:p>
        </w:tc>
        <w:tc>
          <w:tcPr>
            <w:tcW w:w="2258" w:type="dxa"/>
            <w:shd w:val="clear" w:color="auto" w:fill="auto"/>
            <w:vAlign w:val="center"/>
          </w:tcPr>
          <w:p w14:paraId="64807761">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ascii="Times New Roman" w:hAnsi="Times New Roman" w:eastAsia="宋体"/>
                <w:color w:val="000000"/>
                <w:szCs w:val="21"/>
                <w:highlight w:val="none"/>
                <w:u w:val="single"/>
              </w:rPr>
              <w:t>主调压器及其附件</w:t>
            </w:r>
          </w:p>
        </w:tc>
        <w:tc>
          <w:tcPr>
            <w:tcW w:w="3101" w:type="dxa"/>
            <w:shd w:val="clear" w:color="auto" w:fill="auto"/>
            <w:vAlign w:val="center"/>
          </w:tcPr>
          <w:p w14:paraId="07D597F6">
            <w:pPr>
              <w:adjustRightInd w:val="0"/>
              <w:snapToGrid w:val="0"/>
              <w:spacing w:line="360" w:lineRule="auto"/>
              <w:ind w:firstLine="105" w:firstLineChars="50"/>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ascii="Times New Roman" w:hAnsi="Times New Roman" w:eastAsia="宋体"/>
                <w:color w:val="auto"/>
                <w:szCs w:val="21"/>
                <w:highlight w:val="none"/>
                <w:u w:val="single"/>
              </w:rPr>
              <w:t>调压器</w:t>
            </w:r>
            <w:r>
              <w:rPr>
                <w:rFonts w:hint="eastAsia" w:ascii="Times New Roman" w:hAnsi="Times New Roman" w:eastAsia="宋体"/>
                <w:color w:val="auto"/>
                <w:szCs w:val="21"/>
                <w:highlight w:val="none"/>
                <w:u w:val="single"/>
                <w:lang w:val="en-US" w:eastAsia="zh-CN"/>
              </w:rPr>
              <w:t>单路</w:t>
            </w:r>
            <w:r>
              <w:rPr>
                <w:rFonts w:hint="eastAsia" w:ascii="Times New Roman" w:hAnsi="Times New Roman" w:eastAsia="宋体"/>
                <w:color w:val="auto"/>
                <w:szCs w:val="21"/>
                <w:highlight w:val="none"/>
                <w:u w:val="single"/>
              </w:rPr>
              <w:t>规模≥</w:t>
            </w:r>
            <w:r>
              <w:rPr>
                <w:rFonts w:hint="eastAsia"/>
                <w:color w:val="auto"/>
                <w:sz w:val="24"/>
                <w:szCs w:val="21"/>
                <w:highlight w:val="none"/>
                <w:u w:val="single"/>
                <w:lang w:val="en-US" w:eastAsia="zh-CN"/>
              </w:rPr>
              <w:t>4000</w:t>
            </w:r>
            <w:r>
              <w:rPr>
                <w:rFonts w:hint="eastAsia" w:ascii="Times New Roman" w:hAnsi="Times New Roman" w:eastAsia="宋体"/>
                <w:color w:val="auto"/>
                <w:sz w:val="24"/>
                <w:szCs w:val="21"/>
                <w:highlight w:val="none"/>
                <w:u w:val="single"/>
              </w:rPr>
              <w:t>N</w:t>
            </w:r>
            <w:r>
              <w:rPr>
                <w:rFonts w:ascii="Times New Roman" w:hAnsi="Times New Roman" w:eastAsia="宋体"/>
                <w:color w:val="auto"/>
                <w:sz w:val="24"/>
                <w:szCs w:val="21"/>
                <w:highlight w:val="none"/>
                <w:u w:val="single"/>
              </w:rPr>
              <w:t>m</w:t>
            </w:r>
            <w:r>
              <w:rPr>
                <w:rFonts w:ascii="Times New Roman" w:hAnsi="Times New Roman" w:eastAsia="宋体"/>
                <w:color w:val="auto"/>
                <w:sz w:val="24"/>
                <w:szCs w:val="21"/>
                <w:highlight w:val="none"/>
                <w:u w:val="single"/>
                <w:vertAlign w:val="superscript"/>
              </w:rPr>
              <w:t>3</w:t>
            </w:r>
            <w:r>
              <w:rPr>
                <w:rFonts w:ascii="Times New Roman" w:hAnsi="Times New Roman" w:eastAsia="宋体"/>
                <w:color w:val="auto"/>
                <w:sz w:val="24"/>
                <w:szCs w:val="21"/>
                <w:highlight w:val="none"/>
                <w:u w:val="single"/>
              </w:rPr>
              <w:t>/h</w:t>
            </w:r>
            <w:r>
              <w:rPr>
                <w:rFonts w:hint="eastAsia" w:ascii="Times New Roman" w:hAnsi="Times New Roman" w:eastAsia="宋体"/>
                <w:color w:val="auto"/>
                <w:szCs w:val="21"/>
                <w:highlight w:val="none"/>
                <w:u w:val="single"/>
              </w:rPr>
              <w:t>，</w:t>
            </w:r>
            <w:r>
              <w:rPr>
                <w:rFonts w:hint="eastAsia" w:ascii="Times New Roman" w:hAnsi="Times New Roman" w:eastAsia="宋体"/>
                <w:color w:val="000000"/>
                <w:szCs w:val="21"/>
                <w:highlight w:val="none"/>
                <w:u w:val="single"/>
              </w:rPr>
              <w:t>进口压力：</w:t>
            </w:r>
            <w:r>
              <w:rPr>
                <w:rFonts w:hint="eastAsia"/>
                <w:color w:val="000000"/>
                <w:szCs w:val="21"/>
                <w:highlight w:val="none"/>
                <w:u w:val="single"/>
                <w:lang w:val="en-US" w:eastAsia="zh-CN"/>
              </w:rPr>
              <w:t>0.3</w:t>
            </w:r>
            <w:r>
              <w:rPr>
                <w:rFonts w:hint="eastAsia" w:ascii="Times New Roman" w:hAnsi="Times New Roman" w:eastAsia="宋体"/>
                <w:color w:val="000000"/>
                <w:szCs w:val="21"/>
                <w:highlight w:val="none"/>
                <w:u w:val="single"/>
              </w:rPr>
              <w:t>~</w:t>
            </w:r>
            <w:r>
              <w:rPr>
                <w:rFonts w:hint="eastAsia"/>
                <w:color w:val="000000"/>
                <w:szCs w:val="21"/>
                <w:highlight w:val="none"/>
                <w:u w:val="single"/>
                <w:lang w:val="en-US" w:eastAsia="zh-CN"/>
              </w:rPr>
              <w:t>0.36</w:t>
            </w:r>
            <w:r>
              <w:rPr>
                <w:rFonts w:hint="eastAsia" w:ascii="Times New Roman" w:hAnsi="Times New Roman" w:eastAsia="宋体"/>
                <w:color w:val="000000"/>
                <w:szCs w:val="21"/>
                <w:highlight w:val="none"/>
                <w:u w:val="single"/>
              </w:rPr>
              <w:t>MPa</w:t>
            </w:r>
            <w:r>
              <w:rPr>
                <w:rFonts w:hint="eastAsia" w:ascii="Times New Roman" w:hAnsi="Times New Roman" w:eastAsia="宋体"/>
                <w:color w:val="000000"/>
                <w:szCs w:val="21"/>
                <w:highlight w:val="none"/>
                <w:u w:val="single"/>
                <w:lang w:val="en-US" w:eastAsia="zh-CN"/>
              </w:rPr>
              <w:t>;出口压力：</w:t>
            </w:r>
            <w:r>
              <w:rPr>
                <w:rFonts w:hint="eastAsia"/>
                <w:color w:val="000000"/>
                <w:szCs w:val="21"/>
                <w:highlight w:val="none"/>
                <w:u w:val="single"/>
                <w:lang w:val="en-US" w:eastAsia="zh-CN"/>
              </w:rPr>
              <w:t>0.05</w:t>
            </w:r>
            <w:r>
              <w:rPr>
                <w:rFonts w:hint="eastAsia" w:ascii="Times New Roman" w:hAnsi="Times New Roman" w:eastAsia="宋体"/>
                <w:color w:val="000000"/>
                <w:szCs w:val="21"/>
                <w:highlight w:val="none"/>
                <w:u w:val="single"/>
                <w:lang w:val="en-US" w:eastAsia="zh-CN"/>
              </w:rPr>
              <w:t>MPa，调压器稳压精度等级为AC5（±5%）；调压器关闭压力等级为SG5（最大允许相对增量5%)；调压器运行时噪声不应大于85dB（1米位置）</w:t>
            </w:r>
          </w:p>
        </w:tc>
        <w:tc>
          <w:tcPr>
            <w:tcW w:w="745" w:type="dxa"/>
            <w:shd w:val="clear" w:color="auto" w:fill="auto"/>
            <w:vAlign w:val="center"/>
          </w:tcPr>
          <w:p w14:paraId="4BE2A5E3">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ascii="Times New Roman" w:hAnsi="Times New Roman" w:eastAsia="宋体"/>
                <w:color w:val="000000"/>
                <w:szCs w:val="21"/>
                <w:highlight w:val="none"/>
                <w:u w:val="single"/>
              </w:rPr>
              <w:t>个</w:t>
            </w:r>
          </w:p>
        </w:tc>
        <w:tc>
          <w:tcPr>
            <w:tcW w:w="973" w:type="dxa"/>
            <w:shd w:val="clear" w:color="auto" w:fill="auto"/>
            <w:vAlign w:val="center"/>
          </w:tcPr>
          <w:p w14:paraId="6A076E19">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color w:val="000000"/>
                <w:szCs w:val="21"/>
                <w:highlight w:val="none"/>
                <w:u w:val="single"/>
                <w:lang w:val="en-US" w:eastAsia="zh-CN"/>
              </w:rPr>
              <w:t>2</w:t>
            </w:r>
          </w:p>
        </w:tc>
        <w:tc>
          <w:tcPr>
            <w:tcW w:w="752" w:type="dxa"/>
            <w:shd w:val="clear" w:color="auto" w:fill="auto"/>
            <w:vAlign w:val="center"/>
          </w:tcPr>
          <w:p w14:paraId="29A51977">
            <w:pPr>
              <w:adjustRightInd w:val="0"/>
              <w:snapToGrid w:val="0"/>
              <w:spacing w:line="360" w:lineRule="auto"/>
              <w:jc w:val="center"/>
              <w:rPr>
                <w:rFonts w:hint="eastAsia" w:ascii="Times New Roman" w:hAnsi="Times New Roman" w:eastAsia="宋体" w:cs="Arial"/>
                <w:kern w:val="2"/>
                <w:sz w:val="21"/>
                <w:szCs w:val="21"/>
                <w:highlight w:val="none"/>
                <w:lang w:val="en-US" w:eastAsia="zh-CN" w:bidi="ar-SA"/>
              </w:rPr>
            </w:pPr>
            <w:r>
              <w:rPr>
                <w:rFonts w:hint="eastAsia" w:ascii="Times New Roman" w:hAnsi="Times New Roman" w:eastAsia="宋体" w:cs="Arial"/>
                <w:szCs w:val="21"/>
                <w:highlight w:val="none"/>
              </w:rPr>
              <w:t>调压器带开度阀位反馈功能</w:t>
            </w:r>
          </w:p>
        </w:tc>
      </w:tr>
      <w:tr w14:paraId="55F4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Merge w:val="restart"/>
            <w:vAlign w:val="center"/>
          </w:tcPr>
          <w:p w14:paraId="4E819E8C">
            <w:pPr>
              <w:adjustRightInd w:val="0"/>
              <w:snapToGrid w:val="0"/>
              <w:spacing w:line="360" w:lineRule="auto"/>
              <w:jc w:val="center"/>
              <w:rPr>
                <w:rFonts w:hint="eastAsia" w:ascii="Times New Roman" w:hAnsi="Times New Roman" w:eastAsia="宋体" w:cs="Arial"/>
                <w:szCs w:val="21"/>
                <w:highlight w:val="none"/>
                <w:lang w:val="en-US" w:eastAsia="zh-CN"/>
              </w:rPr>
            </w:pPr>
            <w:r>
              <w:rPr>
                <w:rFonts w:hint="eastAsia" w:cs="Arial"/>
                <w:szCs w:val="21"/>
                <w:highlight w:val="none"/>
                <w:lang w:val="en-US" w:eastAsia="zh-CN"/>
              </w:rPr>
              <w:t>5</w:t>
            </w:r>
          </w:p>
        </w:tc>
        <w:tc>
          <w:tcPr>
            <w:tcW w:w="2258" w:type="dxa"/>
            <w:vAlign w:val="center"/>
          </w:tcPr>
          <w:p w14:paraId="6208283C">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电动球阀</w:t>
            </w:r>
          </w:p>
        </w:tc>
        <w:tc>
          <w:tcPr>
            <w:tcW w:w="3101" w:type="dxa"/>
            <w:vAlign w:val="center"/>
          </w:tcPr>
          <w:p w14:paraId="5C8B579F">
            <w:pPr>
              <w:adjustRightInd w:val="0"/>
              <w:snapToGrid w:val="0"/>
              <w:spacing w:line="360" w:lineRule="auto"/>
              <w:jc w:val="center"/>
              <w:rPr>
                <w:rFonts w:hint="default" w:ascii="Times New Roman" w:hAnsi="Times New Roman" w:eastAsia="宋体"/>
                <w:color w:val="000000"/>
                <w:szCs w:val="21"/>
                <w:highlight w:val="none"/>
                <w:u w:val="single"/>
                <w:lang w:val="en-US" w:eastAsia="zh-CN"/>
              </w:rPr>
            </w:pPr>
            <w:r>
              <w:rPr>
                <w:rFonts w:hint="eastAsia" w:ascii="Times New Roman" w:hAnsi="Times New Roman" w:eastAsia="宋体"/>
                <w:color w:val="000000"/>
                <w:szCs w:val="21"/>
                <w:highlight w:val="none"/>
                <w:u w:val="single"/>
              </w:rPr>
              <w:t>DN</w:t>
            </w:r>
            <w:r>
              <w:rPr>
                <w:rFonts w:hint="eastAsia"/>
                <w:color w:val="000000"/>
                <w:szCs w:val="21"/>
                <w:highlight w:val="none"/>
                <w:u w:val="single"/>
                <w:lang w:val="en-US" w:eastAsia="zh-CN"/>
              </w:rPr>
              <w:t>10</w:t>
            </w:r>
            <w:r>
              <w:rPr>
                <w:rFonts w:hint="eastAsia" w:ascii="Times New Roman" w:hAnsi="Times New Roman" w:eastAsia="宋体"/>
                <w:color w:val="000000"/>
                <w:szCs w:val="21"/>
                <w:highlight w:val="none"/>
                <w:u w:val="single"/>
              </w:rPr>
              <w:t>0    PN</w:t>
            </w:r>
            <w:r>
              <w:rPr>
                <w:rFonts w:hint="eastAsia" w:ascii="Times New Roman" w:hAnsi="Times New Roman" w:eastAsia="宋体"/>
                <w:color w:val="000000"/>
                <w:szCs w:val="21"/>
                <w:highlight w:val="none"/>
                <w:u w:val="single"/>
                <w:lang w:val="en-US" w:eastAsia="zh-CN"/>
              </w:rPr>
              <w:t>16</w:t>
            </w:r>
          </w:p>
        </w:tc>
        <w:tc>
          <w:tcPr>
            <w:tcW w:w="745" w:type="dxa"/>
            <w:vAlign w:val="center"/>
          </w:tcPr>
          <w:p w14:paraId="6E9EFA88">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个</w:t>
            </w:r>
          </w:p>
        </w:tc>
        <w:tc>
          <w:tcPr>
            <w:tcW w:w="973" w:type="dxa"/>
            <w:vAlign w:val="center"/>
          </w:tcPr>
          <w:p w14:paraId="20BB946E">
            <w:pPr>
              <w:adjustRightInd w:val="0"/>
              <w:snapToGrid w:val="0"/>
              <w:spacing w:line="360" w:lineRule="auto"/>
              <w:jc w:val="center"/>
              <w:rPr>
                <w:rFonts w:hint="eastAsia" w:ascii="Times New Roman" w:hAnsi="Times New Roman" w:eastAsia="宋体"/>
                <w:color w:val="000000"/>
                <w:szCs w:val="21"/>
                <w:highlight w:val="none"/>
                <w:u w:val="single"/>
                <w:lang w:eastAsia="zh-CN"/>
              </w:rPr>
            </w:pPr>
            <w:r>
              <w:rPr>
                <w:rFonts w:hint="eastAsia"/>
                <w:color w:val="000000"/>
                <w:szCs w:val="21"/>
                <w:highlight w:val="none"/>
                <w:u w:val="single"/>
                <w:lang w:val="en-US" w:eastAsia="zh-CN"/>
              </w:rPr>
              <w:t>1</w:t>
            </w:r>
          </w:p>
        </w:tc>
        <w:tc>
          <w:tcPr>
            <w:tcW w:w="752" w:type="dxa"/>
            <w:vAlign w:val="center"/>
          </w:tcPr>
          <w:p w14:paraId="55934AB8">
            <w:pPr>
              <w:adjustRightInd w:val="0"/>
              <w:snapToGrid w:val="0"/>
              <w:spacing w:line="360" w:lineRule="auto"/>
              <w:jc w:val="center"/>
              <w:rPr>
                <w:rFonts w:ascii="Times New Roman" w:hAnsi="Times New Roman" w:eastAsia="宋体" w:cs="Arial"/>
                <w:szCs w:val="21"/>
                <w:highlight w:val="none"/>
              </w:rPr>
            </w:pPr>
          </w:p>
        </w:tc>
      </w:tr>
      <w:tr w14:paraId="0171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Merge w:val="continue"/>
            <w:tcBorders/>
            <w:vAlign w:val="center"/>
          </w:tcPr>
          <w:p w14:paraId="2D3657C9">
            <w:pPr>
              <w:adjustRightInd w:val="0"/>
              <w:snapToGrid w:val="0"/>
              <w:spacing w:line="360" w:lineRule="auto"/>
              <w:jc w:val="center"/>
              <w:rPr>
                <w:rFonts w:hint="eastAsia" w:cs="Arial"/>
                <w:szCs w:val="21"/>
                <w:highlight w:val="none"/>
                <w:lang w:val="en-US" w:eastAsia="zh-CN"/>
              </w:rPr>
            </w:pPr>
          </w:p>
        </w:tc>
        <w:tc>
          <w:tcPr>
            <w:tcW w:w="2258" w:type="dxa"/>
            <w:vAlign w:val="center"/>
          </w:tcPr>
          <w:p w14:paraId="7436A869">
            <w:pPr>
              <w:adjustRightInd w:val="0"/>
              <w:snapToGrid w:val="0"/>
              <w:spacing w:line="360" w:lineRule="auto"/>
              <w:jc w:val="center"/>
              <w:rPr>
                <w:rFonts w:hint="eastAsia"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电动球阀</w:t>
            </w:r>
          </w:p>
        </w:tc>
        <w:tc>
          <w:tcPr>
            <w:tcW w:w="3101" w:type="dxa"/>
            <w:vAlign w:val="center"/>
          </w:tcPr>
          <w:p w14:paraId="59119D3B">
            <w:pPr>
              <w:adjustRightInd w:val="0"/>
              <w:snapToGrid w:val="0"/>
              <w:spacing w:line="360" w:lineRule="auto"/>
              <w:jc w:val="center"/>
              <w:rPr>
                <w:rFonts w:hint="eastAsia"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DN</w:t>
            </w:r>
            <w:r>
              <w:rPr>
                <w:rFonts w:hint="eastAsia"/>
                <w:color w:val="000000"/>
                <w:szCs w:val="21"/>
                <w:highlight w:val="none"/>
                <w:u w:val="single"/>
                <w:lang w:val="en-US" w:eastAsia="zh-CN"/>
              </w:rPr>
              <w:t>250</w:t>
            </w:r>
            <w:r>
              <w:rPr>
                <w:rFonts w:hint="eastAsia" w:ascii="Times New Roman" w:hAnsi="Times New Roman" w:eastAsia="宋体"/>
                <w:color w:val="000000"/>
                <w:szCs w:val="21"/>
                <w:highlight w:val="none"/>
                <w:u w:val="single"/>
              </w:rPr>
              <w:t xml:space="preserve">    PN</w:t>
            </w:r>
            <w:r>
              <w:rPr>
                <w:rFonts w:hint="eastAsia" w:ascii="Times New Roman" w:hAnsi="Times New Roman" w:eastAsia="宋体"/>
                <w:color w:val="000000"/>
                <w:szCs w:val="21"/>
                <w:highlight w:val="none"/>
                <w:u w:val="single"/>
                <w:lang w:val="en-US" w:eastAsia="zh-CN"/>
              </w:rPr>
              <w:t>16</w:t>
            </w:r>
          </w:p>
        </w:tc>
        <w:tc>
          <w:tcPr>
            <w:tcW w:w="745" w:type="dxa"/>
            <w:shd w:val="clear"/>
            <w:vAlign w:val="center"/>
          </w:tcPr>
          <w:p w14:paraId="64C176E8">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ascii="Times New Roman" w:hAnsi="Times New Roman" w:eastAsia="宋体"/>
                <w:color w:val="000000"/>
                <w:szCs w:val="21"/>
                <w:highlight w:val="none"/>
                <w:u w:val="single"/>
              </w:rPr>
              <w:t>个</w:t>
            </w:r>
          </w:p>
        </w:tc>
        <w:tc>
          <w:tcPr>
            <w:tcW w:w="973" w:type="dxa"/>
            <w:shd w:val="clear"/>
            <w:vAlign w:val="center"/>
          </w:tcPr>
          <w:p w14:paraId="3E23ECEC">
            <w:pPr>
              <w:adjustRightInd w:val="0"/>
              <w:snapToGrid w:val="0"/>
              <w:spacing w:line="360" w:lineRule="auto"/>
              <w:jc w:val="center"/>
              <w:rPr>
                <w:rFonts w:hint="eastAsia" w:ascii="Times New Roman" w:hAnsi="Times New Roman" w:eastAsia="宋体" w:cs="Times New Roman"/>
                <w:color w:val="000000"/>
                <w:kern w:val="2"/>
                <w:sz w:val="21"/>
                <w:szCs w:val="21"/>
                <w:highlight w:val="none"/>
                <w:u w:val="single"/>
                <w:lang w:val="en-US" w:eastAsia="zh-CN" w:bidi="ar-SA"/>
              </w:rPr>
            </w:pPr>
            <w:r>
              <w:rPr>
                <w:rFonts w:hint="eastAsia"/>
                <w:color w:val="000000"/>
                <w:szCs w:val="21"/>
                <w:highlight w:val="none"/>
                <w:u w:val="single"/>
                <w:lang w:val="en-US" w:eastAsia="zh-CN"/>
              </w:rPr>
              <w:t>1</w:t>
            </w:r>
          </w:p>
        </w:tc>
        <w:tc>
          <w:tcPr>
            <w:tcW w:w="752" w:type="dxa"/>
            <w:vAlign w:val="center"/>
          </w:tcPr>
          <w:p w14:paraId="62690AC9">
            <w:pPr>
              <w:adjustRightInd w:val="0"/>
              <w:snapToGrid w:val="0"/>
              <w:spacing w:line="360" w:lineRule="auto"/>
              <w:jc w:val="center"/>
              <w:rPr>
                <w:rFonts w:ascii="Times New Roman" w:hAnsi="Times New Roman" w:eastAsia="宋体" w:cs="Arial"/>
                <w:szCs w:val="21"/>
                <w:highlight w:val="none"/>
              </w:rPr>
            </w:pPr>
          </w:p>
        </w:tc>
      </w:tr>
      <w:tr w14:paraId="7020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Merge w:val="restart"/>
            <w:vAlign w:val="center"/>
          </w:tcPr>
          <w:p w14:paraId="222CF6C7">
            <w:pPr>
              <w:adjustRightInd w:val="0"/>
              <w:snapToGrid w:val="0"/>
              <w:spacing w:line="360" w:lineRule="auto"/>
              <w:jc w:val="center"/>
              <w:rPr>
                <w:rFonts w:hint="eastAsia" w:ascii="Times New Roman" w:hAnsi="Times New Roman" w:eastAsia="宋体" w:cs="Arial"/>
                <w:szCs w:val="21"/>
                <w:highlight w:val="none"/>
                <w:lang w:val="en-US" w:eastAsia="zh-CN"/>
              </w:rPr>
            </w:pPr>
            <w:r>
              <w:rPr>
                <w:rFonts w:hint="eastAsia" w:ascii="Times New Roman" w:hAnsi="Times New Roman" w:eastAsia="宋体" w:cs="Arial"/>
                <w:szCs w:val="21"/>
                <w:highlight w:val="none"/>
                <w:lang w:val="en-US" w:eastAsia="zh-CN"/>
              </w:rPr>
              <w:t>6</w:t>
            </w:r>
          </w:p>
        </w:tc>
        <w:tc>
          <w:tcPr>
            <w:tcW w:w="2258" w:type="dxa"/>
            <w:vAlign w:val="center"/>
          </w:tcPr>
          <w:p w14:paraId="31DE5AFD">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法兰球阀</w:t>
            </w:r>
          </w:p>
        </w:tc>
        <w:tc>
          <w:tcPr>
            <w:tcW w:w="3101" w:type="dxa"/>
            <w:vAlign w:val="center"/>
          </w:tcPr>
          <w:p w14:paraId="3EAEFF71">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DN</w:t>
            </w:r>
            <w:r>
              <w:rPr>
                <w:rFonts w:hint="eastAsia" w:ascii="Times New Roman" w:hAnsi="Times New Roman" w:eastAsia="宋体"/>
                <w:color w:val="000000"/>
                <w:szCs w:val="21"/>
                <w:highlight w:val="none"/>
                <w:u w:val="single"/>
                <w:lang w:val="en-US" w:eastAsia="zh-CN"/>
              </w:rPr>
              <w:t>250</w:t>
            </w:r>
            <w:r>
              <w:rPr>
                <w:rFonts w:hint="eastAsia" w:ascii="Times New Roman" w:hAnsi="Times New Roman" w:eastAsia="宋体"/>
                <w:color w:val="000000"/>
                <w:szCs w:val="21"/>
                <w:highlight w:val="none"/>
                <w:u w:val="single"/>
              </w:rPr>
              <w:t xml:space="preserve">    PN16</w:t>
            </w:r>
          </w:p>
        </w:tc>
        <w:tc>
          <w:tcPr>
            <w:tcW w:w="745" w:type="dxa"/>
            <w:vAlign w:val="center"/>
          </w:tcPr>
          <w:p w14:paraId="542BA796">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个</w:t>
            </w:r>
          </w:p>
        </w:tc>
        <w:tc>
          <w:tcPr>
            <w:tcW w:w="973" w:type="dxa"/>
            <w:vAlign w:val="center"/>
          </w:tcPr>
          <w:p w14:paraId="27115583">
            <w:pPr>
              <w:adjustRightInd w:val="0"/>
              <w:snapToGrid w:val="0"/>
              <w:spacing w:line="360" w:lineRule="auto"/>
              <w:jc w:val="center"/>
              <w:rPr>
                <w:rFonts w:hint="eastAsia" w:ascii="Times New Roman" w:hAnsi="Times New Roman" w:eastAsia="宋体"/>
                <w:color w:val="000000"/>
                <w:szCs w:val="21"/>
                <w:highlight w:val="none"/>
                <w:u w:val="single"/>
                <w:lang w:eastAsia="zh-CN"/>
              </w:rPr>
            </w:pPr>
            <w:r>
              <w:rPr>
                <w:rFonts w:hint="eastAsia"/>
                <w:color w:val="000000"/>
                <w:szCs w:val="21"/>
                <w:highlight w:val="none"/>
                <w:u w:val="single"/>
                <w:lang w:val="en-US" w:eastAsia="zh-CN"/>
              </w:rPr>
              <w:t>2</w:t>
            </w:r>
          </w:p>
        </w:tc>
        <w:tc>
          <w:tcPr>
            <w:tcW w:w="752" w:type="dxa"/>
            <w:vAlign w:val="center"/>
          </w:tcPr>
          <w:p w14:paraId="338EF41D">
            <w:pPr>
              <w:adjustRightInd w:val="0"/>
              <w:snapToGrid w:val="0"/>
              <w:spacing w:line="360" w:lineRule="auto"/>
              <w:jc w:val="center"/>
              <w:rPr>
                <w:rFonts w:ascii="Times New Roman" w:hAnsi="Times New Roman" w:eastAsia="宋体" w:cs="Arial"/>
                <w:szCs w:val="21"/>
                <w:highlight w:val="none"/>
              </w:rPr>
            </w:pPr>
          </w:p>
        </w:tc>
      </w:tr>
      <w:tr w14:paraId="1125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Merge w:val="continue"/>
            <w:tcBorders/>
            <w:vAlign w:val="center"/>
          </w:tcPr>
          <w:p w14:paraId="7273C89A">
            <w:pPr>
              <w:adjustRightInd w:val="0"/>
              <w:snapToGrid w:val="0"/>
              <w:spacing w:line="360" w:lineRule="auto"/>
              <w:jc w:val="center"/>
              <w:rPr>
                <w:rFonts w:ascii="Times New Roman" w:hAnsi="Times New Roman" w:eastAsia="宋体" w:cs="Arial"/>
                <w:szCs w:val="21"/>
                <w:highlight w:val="none"/>
              </w:rPr>
            </w:pPr>
          </w:p>
        </w:tc>
        <w:tc>
          <w:tcPr>
            <w:tcW w:w="2258" w:type="dxa"/>
            <w:vAlign w:val="center"/>
          </w:tcPr>
          <w:p w14:paraId="35761829">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法兰球阀</w:t>
            </w:r>
          </w:p>
        </w:tc>
        <w:tc>
          <w:tcPr>
            <w:tcW w:w="3101" w:type="dxa"/>
            <w:vAlign w:val="center"/>
          </w:tcPr>
          <w:p w14:paraId="2295046D">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DN</w:t>
            </w:r>
            <w:r>
              <w:rPr>
                <w:rFonts w:hint="eastAsia"/>
                <w:color w:val="000000"/>
                <w:szCs w:val="21"/>
                <w:highlight w:val="none"/>
                <w:u w:val="single"/>
                <w:lang w:val="en-US" w:eastAsia="zh-CN"/>
              </w:rPr>
              <w:t>10</w:t>
            </w:r>
            <w:r>
              <w:rPr>
                <w:rFonts w:hint="eastAsia" w:ascii="Times New Roman" w:hAnsi="Times New Roman" w:eastAsia="宋体"/>
                <w:color w:val="000000"/>
                <w:szCs w:val="21"/>
                <w:highlight w:val="none"/>
                <w:u w:val="single"/>
              </w:rPr>
              <w:t>0    PN16</w:t>
            </w:r>
          </w:p>
        </w:tc>
        <w:tc>
          <w:tcPr>
            <w:tcW w:w="745" w:type="dxa"/>
            <w:vAlign w:val="center"/>
          </w:tcPr>
          <w:p w14:paraId="40CEAF7F">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个</w:t>
            </w:r>
          </w:p>
        </w:tc>
        <w:tc>
          <w:tcPr>
            <w:tcW w:w="973" w:type="dxa"/>
            <w:vAlign w:val="center"/>
          </w:tcPr>
          <w:p w14:paraId="56683D53">
            <w:pPr>
              <w:adjustRightInd w:val="0"/>
              <w:snapToGrid w:val="0"/>
              <w:spacing w:line="360" w:lineRule="auto"/>
              <w:jc w:val="center"/>
              <w:rPr>
                <w:rFonts w:hint="eastAsia" w:ascii="Times New Roman" w:hAnsi="Times New Roman" w:eastAsia="宋体"/>
                <w:color w:val="000000"/>
                <w:szCs w:val="21"/>
                <w:highlight w:val="none"/>
                <w:u w:val="single"/>
                <w:lang w:eastAsia="zh-CN"/>
              </w:rPr>
            </w:pPr>
            <w:r>
              <w:rPr>
                <w:rFonts w:hint="eastAsia"/>
                <w:color w:val="000000"/>
                <w:szCs w:val="21"/>
                <w:highlight w:val="none"/>
                <w:u w:val="single"/>
                <w:lang w:val="en-US" w:eastAsia="zh-CN"/>
              </w:rPr>
              <w:t>2</w:t>
            </w:r>
          </w:p>
        </w:tc>
        <w:tc>
          <w:tcPr>
            <w:tcW w:w="752" w:type="dxa"/>
            <w:vAlign w:val="center"/>
          </w:tcPr>
          <w:p w14:paraId="60A7B379">
            <w:pPr>
              <w:adjustRightInd w:val="0"/>
              <w:snapToGrid w:val="0"/>
              <w:spacing w:line="360" w:lineRule="auto"/>
              <w:jc w:val="center"/>
              <w:rPr>
                <w:rFonts w:ascii="Times New Roman" w:hAnsi="Times New Roman" w:eastAsia="宋体" w:cs="Arial"/>
                <w:szCs w:val="21"/>
                <w:highlight w:val="none"/>
              </w:rPr>
            </w:pPr>
          </w:p>
        </w:tc>
      </w:tr>
      <w:tr w14:paraId="0E55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Merge w:val="restart"/>
            <w:vAlign w:val="center"/>
          </w:tcPr>
          <w:p w14:paraId="56DCCB07">
            <w:pPr>
              <w:adjustRightInd w:val="0"/>
              <w:snapToGrid w:val="0"/>
              <w:spacing w:line="360" w:lineRule="auto"/>
              <w:jc w:val="center"/>
              <w:rPr>
                <w:rFonts w:hint="eastAsia" w:ascii="Times New Roman" w:hAnsi="Times New Roman" w:eastAsia="宋体" w:cs="Arial"/>
                <w:szCs w:val="21"/>
                <w:highlight w:val="none"/>
                <w:lang w:val="en-US" w:eastAsia="zh-CN"/>
              </w:rPr>
            </w:pPr>
            <w:r>
              <w:rPr>
                <w:rFonts w:hint="eastAsia" w:ascii="Times New Roman" w:hAnsi="Times New Roman" w:eastAsia="宋体" w:cs="Arial"/>
                <w:szCs w:val="21"/>
                <w:highlight w:val="none"/>
                <w:lang w:val="en-US" w:eastAsia="zh-CN"/>
              </w:rPr>
              <w:t>7</w:t>
            </w:r>
          </w:p>
        </w:tc>
        <w:tc>
          <w:tcPr>
            <w:tcW w:w="2258" w:type="dxa"/>
            <w:shd w:val="clear"/>
            <w:vAlign w:val="center"/>
          </w:tcPr>
          <w:p w14:paraId="50873FFE">
            <w:pPr>
              <w:adjustRightInd w:val="0"/>
              <w:snapToGrid w:val="0"/>
              <w:spacing w:line="360" w:lineRule="auto"/>
              <w:jc w:val="center"/>
              <w:rPr>
                <w:rFonts w:ascii="Calibri" w:hAnsi="Calibri" w:eastAsia="宋体" w:cs="Times New Roman"/>
                <w:color w:val="000000"/>
                <w:kern w:val="2"/>
                <w:sz w:val="21"/>
                <w:szCs w:val="21"/>
                <w:highlight w:val="none"/>
                <w:u w:val="single"/>
                <w:lang w:val="en-US" w:eastAsia="zh-CN" w:bidi="ar-SA"/>
              </w:rPr>
            </w:pPr>
            <w:r>
              <w:rPr>
                <w:rFonts w:hint="eastAsia" w:ascii="Calibri" w:hAnsi="Calibri"/>
                <w:color w:val="000000"/>
                <w:szCs w:val="21"/>
                <w:highlight w:val="none"/>
                <w:u w:val="single"/>
              </w:rPr>
              <w:t>节流截止阀</w:t>
            </w:r>
          </w:p>
        </w:tc>
        <w:tc>
          <w:tcPr>
            <w:tcW w:w="3101" w:type="dxa"/>
            <w:shd w:val="clear"/>
            <w:vAlign w:val="center"/>
          </w:tcPr>
          <w:p w14:paraId="43F8C92D">
            <w:pPr>
              <w:adjustRightInd w:val="0"/>
              <w:snapToGrid w:val="0"/>
              <w:spacing w:line="360" w:lineRule="auto"/>
              <w:jc w:val="center"/>
              <w:rPr>
                <w:rFonts w:hint="default" w:ascii="Calibri" w:hAnsi="Calibri" w:eastAsia="宋体" w:cs="Times New Roman"/>
                <w:color w:val="000000"/>
                <w:kern w:val="2"/>
                <w:sz w:val="21"/>
                <w:szCs w:val="21"/>
                <w:highlight w:val="none"/>
                <w:u w:val="single"/>
                <w:lang w:val="en-US" w:eastAsia="zh-CN" w:bidi="ar-SA"/>
              </w:rPr>
            </w:pPr>
            <w:r>
              <w:rPr>
                <w:rFonts w:hint="eastAsia" w:ascii="Calibri" w:hAnsi="Calibri"/>
                <w:color w:val="000000"/>
                <w:szCs w:val="21"/>
                <w:highlight w:val="none"/>
                <w:u w:val="single"/>
              </w:rPr>
              <w:t>DN80    PN</w:t>
            </w:r>
            <w:r>
              <w:rPr>
                <w:rFonts w:hint="eastAsia" w:ascii="Calibri" w:hAnsi="Calibri"/>
                <w:color w:val="000000"/>
                <w:szCs w:val="21"/>
                <w:highlight w:val="none"/>
                <w:u w:val="single"/>
                <w:lang w:val="en-US" w:eastAsia="zh-CN"/>
              </w:rPr>
              <w:t>16</w:t>
            </w:r>
          </w:p>
        </w:tc>
        <w:tc>
          <w:tcPr>
            <w:tcW w:w="745" w:type="dxa"/>
            <w:shd w:val="clear"/>
            <w:vAlign w:val="center"/>
          </w:tcPr>
          <w:p w14:paraId="34E4856E">
            <w:pPr>
              <w:adjustRightInd w:val="0"/>
              <w:snapToGrid w:val="0"/>
              <w:spacing w:line="360" w:lineRule="auto"/>
              <w:jc w:val="center"/>
              <w:rPr>
                <w:rFonts w:ascii="Calibri" w:hAnsi="Calibri" w:eastAsia="宋体" w:cs="Times New Roman"/>
                <w:color w:val="000000"/>
                <w:kern w:val="2"/>
                <w:sz w:val="21"/>
                <w:szCs w:val="21"/>
                <w:highlight w:val="none"/>
                <w:u w:val="single"/>
                <w:lang w:val="en-US" w:eastAsia="zh-CN" w:bidi="ar-SA"/>
              </w:rPr>
            </w:pPr>
            <w:r>
              <w:rPr>
                <w:rFonts w:hint="eastAsia" w:ascii="Calibri" w:hAnsi="Calibri"/>
                <w:color w:val="000000"/>
                <w:szCs w:val="21"/>
                <w:highlight w:val="none"/>
                <w:u w:val="single"/>
              </w:rPr>
              <w:t>个</w:t>
            </w:r>
          </w:p>
        </w:tc>
        <w:tc>
          <w:tcPr>
            <w:tcW w:w="973" w:type="dxa"/>
            <w:shd w:val="clear"/>
            <w:vAlign w:val="center"/>
          </w:tcPr>
          <w:p w14:paraId="5B32D099">
            <w:pPr>
              <w:adjustRightInd w:val="0"/>
              <w:snapToGrid w:val="0"/>
              <w:spacing w:line="360" w:lineRule="auto"/>
              <w:jc w:val="center"/>
              <w:rPr>
                <w:rFonts w:hint="eastAsia" w:ascii="Calibri" w:hAnsi="Calibri" w:eastAsia="宋体" w:cs="Times New Roman"/>
                <w:color w:val="000000"/>
                <w:kern w:val="2"/>
                <w:sz w:val="21"/>
                <w:szCs w:val="21"/>
                <w:highlight w:val="none"/>
                <w:u w:val="single"/>
                <w:lang w:val="en-US" w:eastAsia="zh-CN" w:bidi="ar-SA"/>
              </w:rPr>
            </w:pPr>
            <w:r>
              <w:rPr>
                <w:rFonts w:hint="eastAsia" w:ascii="Calibri" w:hAnsi="Calibri"/>
                <w:color w:val="000000"/>
                <w:szCs w:val="21"/>
                <w:highlight w:val="none"/>
                <w:u w:val="single"/>
              </w:rPr>
              <w:t>1</w:t>
            </w:r>
          </w:p>
        </w:tc>
        <w:tc>
          <w:tcPr>
            <w:tcW w:w="752" w:type="dxa"/>
            <w:shd w:val="clear"/>
            <w:vAlign w:val="center"/>
          </w:tcPr>
          <w:p w14:paraId="4F35515A">
            <w:pPr>
              <w:adjustRightInd w:val="0"/>
              <w:snapToGrid w:val="0"/>
              <w:spacing w:line="360" w:lineRule="auto"/>
              <w:jc w:val="center"/>
              <w:rPr>
                <w:rFonts w:ascii="宋体" w:hAnsi="宋体" w:eastAsia="宋体" w:cs="Arial"/>
                <w:kern w:val="2"/>
                <w:sz w:val="21"/>
                <w:szCs w:val="21"/>
                <w:highlight w:val="none"/>
                <w:lang w:val="en-US" w:eastAsia="zh-CN" w:bidi="ar-SA"/>
              </w:rPr>
            </w:pPr>
          </w:p>
        </w:tc>
      </w:tr>
      <w:tr w14:paraId="1343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Merge w:val="continue"/>
            <w:tcBorders/>
            <w:vAlign w:val="center"/>
          </w:tcPr>
          <w:p w14:paraId="3A9F3302">
            <w:pPr>
              <w:adjustRightInd w:val="0"/>
              <w:snapToGrid w:val="0"/>
              <w:spacing w:line="360" w:lineRule="auto"/>
              <w:jc w:val="center"/>
              <w:rPr>
                <w:rFonts w:hint="eastAsia" w:ascii="Times New Roman" w:hAnsi="Times New Roman" w:eastAsia="宋体" w:cs="Arial"/>
                <w:szCs w:val="21"/>
                <w:highlight w:val="none"/>
                <w:lang w:val="en-US" w:eastAsia="zh-CN"/>
              </w:rPr>
            </w:pPr>
          </w:p>
        </w:tc>
        <w:tc>
          <w:tcPr>
            <w:tcW w:w="2258" w:type="dxa"/>
            <w:shd w:val="clear"/>
            <w:vAlign w:val="center"/>
          </w:tcPr>
          <w:p w14:paraId="4543CF09">
            <w:pPr>
              <w:adjustRightInd w:val="0"/>
              <w:snapToGrid w:val="0"/>
              <w:spacing w:line="360" w:lineRule="auto"/>
              <w:jc w:val="center"/>
              <w:rPr>
                <w:rFonts w:hint="eastAsia" w:ascii="Calibri" w:hAnsi="Calibri" w:eastAsia="宋体" w:cs="Times New Roman"/>
                <w:color w:val="000000"/>
                <w:kern w:val="2"/>
                <w:sz w:val="21"/>
                <w:szCs w:val="21"/>
                <w:highlight w:val="none"/>
                <w:u w:val="single"/>
                <w:lang w:val="en-US" w:eastAsia="zh-CN" w:bidi="ar-SA"/>
              </w:rPr>
            </w:pPr>
            <w:r>
              <w:rPr>
                <w:rFonts w:hint="eastAsia" w:ascii="Calibri" w:hAnsi="Calibri"/>
                <w:color w:val="000000"/>
                <w:szCs w:val="21"/>
                <w:highlight w:val="none"/>
                <w:u w:val="single"/>
              </w:rPr>
              <w:t>节流截止阀</w:t>
            </w:r>
          </w:p>
        </w:tc>
        <w:tc>
          <w:tcPr>
            <w:tcW w:w="3101" w:type="dxa"/>
            <w:shd w:val="clear"/>
            <w:vAlign w:val="center"/>
          </w:tcPr>
          <w:p w14:paraId="75883596">
            <w:pPr>
              <w:adjustRightInd w:val="0"/>
              <w:snapToGrid w:val="0"/>
              <w:spacing w:line="360" w:lineRule="auto"/>
              <w:jc w:val="center"/>
              <w:rPr>
                <w:rFonts w:hint="eastAsia" w:ascii="Calibri" w:hAnsi="Calibri" w:eastAsia="宋体" w:cs="Times New Roman"/>
                <w:color w:val="000000"/>
                <w:kern w:val="2"/>
                <w:sz w:val="21"/>
                <w:szCs w:val="21"/>
                <w:highlight w:val="none"/>
                <w:u w:val="single"/>
                <w:lang w:val="en-US" w:eastAsia="zh-CN" w:bidi="ar-SA"/>
              </w:rPr>
            </w:pPr>
            <w:r>
              <w:rPr>
                <w:rFonts w:hint="eastAsia" w:ascii="Calibri" w:hAnsi="Calibri"/>
                <w:color w:val="000000"/>
                <w:szCs w:val="21"/>
                <w:highlight w:val="none"/>
                <w:u w:val="single"/>
              </w:rPr>
              <w:t>DN</w:t>
            </w:r>
            <w:r>
              <w:rPr>
                <w:rFonts w:hint="eastAsia" w:ascii="Calibri" w:hAnsi="Calibri"/>
                <w:color w:val="000000"/>
                <w:szCs w:val="21"/>
                <w:highlight w:val="none"/>
                <w:u w:val="single"/>
                <w:lang w:val="en-US" w:eastAsia="zh-CN"/>
              </w:rPr>
              <w:t>32</w:t>
            </w:r>
            <w:r>
              <w:rPr>
                <w:rFonts w:hint="eastAsia" w:ascii="Calibri" w:hAnsi="Calibri"/>
                <w:color w:val="000000"/>
                <w:szCs w:val="21"/>
                <w:highlight w:val="none"/>
                <w:u w:val="single"/>
              </w:rPr>
              <w:t xml:space="preserve">    PN16</w:t>
            </w:r>
          </w:p>
        </w:tc>
        <w:tc>
          <w:tcPr>
            <w:tcW w:w="745" w:type="dxa"/>
            <w:shd w:val="clear"/>
            <w:vAlign w:val="center"/>
          </w:tcPr>
          <w:p w14:paraId="1BD9C19B">
            <w:pPr>
              <w:adjustRightInd w:val="0"/>
              <w:snapToGrid w:val="0"/>
              <w:spacing w:line="360" w:lineRule="auto"/>
              <w:jc w:val="center"/>
              <w:rPr>
                <w:rFonts w:hint="eastAsia" w:ascii="Calibri" w:hAnsi="Calibri" w:eastAsia="宋体" w:cs="Times New Roman"/>
                <w:color w:val="000000"/>
                <w:kern w:val="2"/>
                <w:sz w:val="21"/>
                <w:szCs w:val="21"/>
                <w:highlight w:val="none"/>
                <w:u w:val="single"/>
                <w:lang w:val="en-US" w:eastAsia="zh-CN" w:bidi="ar-SA"/>
              </w:rPr>
            </w:pPr>
            <w:r>
              <w:rPr>
                <w:rFonts w:hint="eastAsia" w:ascii="Calibri" w:hAnsi="Calibri"/>
                <w:color w:val="000000"/>
                <w:szCs w:val="21"/>
                <w:highlight w:val="none"/>
                <w:u w:val="single"/>
              </w:rPr>
              <w:t>个</w:t>
            </w:r>
          </w:p>
        </w:tc>
        <w:tc>
          <w:tcPr>
            <w:tcW w:w="973" w:type="dxa"/>
            <w:shd w:val="clear"/>
            <w:vAlign w:val="center"/>
          </w:tcPr>
          <w:p w14:paraId="3900C44E">
            <w:pPr>
              <w:adjustRightInd w:val="0"/>
              <w:snapToGrid w:val="0"/>
              <w:spacing w:line="360" w:lineRule="auto"/>
              <w:jc w:val="center"/>
              <w:rPr>
                <w:rFonts w:hint="eastAsia" w:ascii="Calibri" w:hAnsi="Calibri" w:eastAsia="宋体" w:cs="Times New Roman"/>
                <w:color w:val="000000"/>
                <w:kern w:val="2"/>
                <w:sz w:val="21"/>
                <w:szCs w:val="21"/>
                <w:highlight w:val="none"/>
                <w:u w:val="single"/>
                <w:lang w:val="en-US" w:eastAsia="zh-CN" w:bidi="ar-SA"/>
              </w:rPr>
            </w:pPr>
            <w:r>
              <w:rPr>
                <w:rFonts w:hint="eastAsia" w:ascii="Calibri" w:hAnsi="Calibri"/>
                <w:color w:val="000000"/>
                <w:szCs w:val="21"/>
                <w:highlight w:val="none"/>
                <w:u w:val="single"/>
                <w:lang w:val="en-US" w:eastAsia="zh-CN"/>
              </w:rPr>
              <w:t>1</w:t>
            </w:r>
          </w:p>
        </w:tc>
        <w:tc>
          <w:tcPr>
            <w:tcW w:w="752" w:type="dxa"/>
            <w:shd w:val="clear"/>
            <w:vAlign w:val="center"/>
          </w:tcPr>
          <w:p w14:paraId="19EF49EA">
            <w:pPr>
              <w:adjustRightInd w:val="0"/>
              <w:snapToGrid w:val="0"/>
              <w:spacing w:line="360" w:lineRule="auto"/>
              <w:jc w:val="center"/>
              <w:rPr>
                <w:rFonts w:ascii="宋体" w:hAnsi="宋体" w:eastAsia="宋体" w:cs="Arial"/>
                <w:kern w:val="2"/>
                <w:sz w:val="21"/>
                <w:szCs w:val="21"/>
                <w:highlight w:val="none"/>
                <w:lang w:val="en-US" w:eastAsia="zh-CN" w:bidi="ar-SA"/>
              </w:rPr>
            </w:pPr>
          </w:p>
        </w:tc>
      </w:tr>
      <w:tr w14:paraId="5C28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Align w:val="center"/>
          </w:tcPr>
          <w:p w14:paraId="647F0B55">
            <w:pPr>
              <w:adjustRightInd w:val="0"/>
              <w:snapToGrid w:val="0"/>
              <w:spacing w:line="360" w:lineRule="auto"/>
              <w:jc w:val="center"/>
              <w:rPr>
                <w:rFonts w:hint="default" w:ascii="Times New Roman" w:hAnsi="Times New Roman" w:eastAsia="宋体" w:cs="Arial"/>
                <w:szCs w:val="21"/>
                <w:highlight w:val="none"/>
                <w:lang w:val="en-US" w:eastAsia="zh-CN"/>
              </w:rPr>
            </w:pPr>
            <w:r>
              <w:rPr>
                <w:rFonts w:hint="eastAsia" w:ascii="Times New Roman" w:hAnsi="Times New Roman" w:eastAsia="宋体" w:cs="Arial"/>
                <w:szCs w:val="21"/>
                <w:highlight w:val="none"/>
                <w:lang w:val="en-US" w:eastAsia="zh-CN"/>
              </w:rPr>
              <w:t>8</w:t>
            </w:r>
          </w:p>
        </w:tc>
        <w:tc>
          <w:tcPr>
            <w:tcW w:w="2258" w:type="dxa"/>
            <w:vAlign w:val="center"/>
          </w:tcPr>
          <w:p w14:paraId="5C010EB6">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安全放散阀</w:t>
            </w:r>
          </w:p>
        </w:tc>
        <w:tc>
          <w:tcPr>
            <w:tcW w:w="3101" w:type="dxa"/>
            <w:vAlign w:val="center"/>
          </w:tcPr>
          <w:p w14:paraId="71BE5D58">
            <w:pPr>
              <w:adjustRightInd w:val="0"/>
              <w:snapToGrid w:val="0"/>
              <w:spacing w:line="360" w:lineRule="auto"/>
              <w:ind w:firstLine="315" w:firstLineChars="150"/>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lang w:val="en-US" w:eastAsia="zh-CN"/>
              </w:rPr>
              <w:t>全启式</w:t>
            </w:r>
            <w:r>
              <w:rPr>
                <w:rFonts w:hint="eastAsia" w:ascii="Times New Roman" w:hAnsi="Times New Roman" w:eastAsia="宋体"/>
                <w:color w:val="000000"/>
                <w:szCs w:val="21"/>
                <w:highlight w:val="none"/>
                <w:u w:val="single"/>
              </w:rPr>
              <w:t>安全阀</w:t>
            </w:r>
            <w:r>
              <w:rPr>
                <w:rFonts w:hint="eastAsia" w:ascii="Times New Roman" w:hAnsi="Times New Roman" w:eastAsia="宋体"/>
                <w:color w:val="000000"/>
                <w:szCs w:val="21"/>
                <w:highlight w:val="none"/>
                <w:u w:val="single"/>
                <w:lang w:val="en-US" w:eastAsia="zh-CN"/>
              </w:rPr>
              <w:t xml:space="preserve"> </w:t>
            </w:r>
            <w:r>
              <w:rPr>
                <w:rFonts w:hint="eastAsia" w:ascii="Times New Roman" w:hAnsi="Times New Roman" w:eastAsia="宋体"/>
                <w:color w:val="000000"/>
                <w:szCs w:val="21"/>
                <w:highlight w:val="none"/>
                <w:u w:val="single"/>
              </w:rPr>
              <w:t>安全阀DN</w:t>
            </w:r>
            <w:r>
              <w:rPr>
                <w:rFonts w:hint="eastAsia"/>
                <w:color w:val="000000"/>
                <w:szCs w:val="21"/>
                <w:highlight w:val="none"/>
                <w:u w:val="single"/>
                <w:lang w:val="en-US" w:eastAsia="zh-CN"/>
              </w:rPr>
              <w:t>32</w:t>
            </w:r>
            <w:r>
              <w:rPr>
                <w:rFonts w:hint="eastAsia" w:ascii="Times New Roman" w:hAnsi="Times New Roman" w:eastAsia="宋体"/>
                <w:color w:val="000000"/>
                <w:szCs w:val="21"/>
                <w:highlight w:val="none"/>
                <w:u w:val="single"/>
              </w:rPr>
              <w:t>/</w:t>
            </w:r>
            <w:r>
              <w:rPr>
                <w:rFonts w:hint="eastAsia"/>
                <w:color w:val="000000"/>
                <w:szCs w:val="21"/>
                <w:highlight w:val="none"/>
                <w:u w:val="single"/>
                <w:lang w:val="en-US" w:eastAsia="zh-CN"/>
              </w:rPr>
              <w:t>4</w:t>
            </w:r>
            <w:r>
              <w:rPr>
                <w:rFonts w:hint="eastAsia" w:ascii="Times New Roman" w:hAnsi="Times New Roman" w:eastAsia="宋体"/>
                <w:color w:val="000000"/>
                <w:szCs w:val="21"/>
                <w:highlight w:val="none"/>
                <w:u w:val="single"/>
              </w:rPr>
              <w:t>0</w:t>
            </w:r>
            <w:r>
              <w:rPr>
                <w:rFonts w:hint="eastAsia" w:ascii="Times New Roman" w:hAnsi="Times New Roman" w:eastAsia="宋体"/>
                <w:color w:val="000000"/>
                <w:szCs w:val="21"/>
                <w:highlight w:val="none"/>
                <w:u w:val="single"/>
                <w:lang w:eastAsia="zh-CN"/>
              </w:rPr>
              <w:t>，</w:t>
            </w:r>
            <w:r>
              <w:rPr>
                <w:rFonts w:hint="eastAsia" w:ascii="Times New Roman" w:hAnsi="Times New Roman" w:eastAsia="宋体"/>
                <w:color w:val="000000"/>
                <w:szCs w:val="21"/>
                <w:highlight w:val="none"/>
                <w:u w:val="single"/>
              </w:rPr>
              <w:t>开启压力</w:t>
            </w:r>
            <w:r>
              <w:rPr>
                <w:rFonts w:hint="eastAsia"/>
                <w:color w:val="000000"/>
                <w:szCs w:val="21"/>
                <w:highlight w:val="none"/>
                <w:u w:val="single"/>
                <w:lang w:val="en-US" w:eastAsia="zh-CN"/>
              </w:rPr>
              <w:t>1.54</w:t>
            </w:r>
            <w:r>
              <w:rPr>
                <w:rFonts w:hint="eastAsia" w:ascii="Times New Roman" w:hAnsi="Times New Roman" w:eastAsia="宋体"/>
                <w:color w:val="000000"/>
                <w:szCs w:val="21"/>
                <w:highlight w:val="none"/>
                <w:u w:val="single"/>
              </w:rPr>
              <w:t>MPa</w:t>
            </w:r>
          </w:p>
        </w:tc>
        <w:tc>
          <w:tcPr>
            <w:tcW w:w="745" w:type="dxa"/>
            <w:vAlign w:val="center"/>
          </w:tcPr>
          <w:p w14:paraId="36816CDC">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个</w:t>
            </w:r>
          </w:p>
        </w:tc>
        <w:tc>
          <w:tcPr>
            <w:tcW w:w="973" w:type="dxa"/>
            <w:vAlign w:val="center"/>
          </w:tcPr>
          <w:p w14:paraId="3F4BBB25">
            <w:pPr>
              <w:adjustRightInd w:val="0"/>
              <w:snapToGrid w:val="0"/>
              <w:spacing w:line="360" w:lineRule="auto"/>
              <w:jc w:val="center"/>
              <w:rPr>
                <w:rFonts w:hint="eastAsia" w:ascii="Times New Roman" w:hAnsi="Times New Roman" w:eastAsia="宋体"/>
                <w:color w:val="000000"/>
                <w:szCs w:val="21"/>
                <w:highlight w:val="none"/>
                <w:u w:val="single"/>
                <w:lang w:eastAsia="zh-CN"/>
              </w:rPr>
            </w:pPr>
            <w:r>
              <w:rPr>
                <w:rFonts w:hint="eastAsia" w:ascii="Times New Roman" w:hAnsi="Times New Roman" w:eastAsia="宋体"/>
                <w:color w:val="000000"/>
                <w:szCs w:val="21"/>
                <w:highlight w:val="none"/>
                <w:u w:val="single"/>
                <w:lang w:val="en-US" w:eastAsia="zh-CN"/>
              </w:rPr>
              <w:t>1</w:t>
            </w:r>
          </w:p>
        </w:tc>
        <w:tc>
          <w:tcPr>
            <w:tcW w:w="752" w:type="dxa"/>
            <w:vAlign w:val="center"/>
          </w:tcPr>
          <w:p w14:paraId="41CCF868">
            <w:pPr>
              <w:adjustRightInd w:val="0"/>
              <w:snapToGrid w:val="0"/>
              <w:spacing w:line="360" w:lineRule="auto"/>
              <w:jc w:val="center"/>
              <w:rPr>
                <w:rFonts w:ascii="Times New Roman" w:hAnsi="Times New Roman" w:eastAsia="宋体" w:cs="Arial"/>
                <w:szCs w:val="21"/>
                <w:highlight w:val="none"/>
              </w:rPr>
            </w:pPr>
          </w:p>
        </w:tc>
      </w:tr>
      <w:tr w14:paraId="7955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Align w:val="center"/>
          </w:tcPr>
          <w:p w14:paraId="38F3E8A8">
            <w:pPr>
              <w:adjustRightInd w:val="0"/>
              <w:snapToGrid w:val="0"/>
              <w:spacing w:line="360" w:lineRule="auto"/>
              <w:jc w:val="center"/>
              <w:rPr>
                <w:rFonts w:ascii="Times New Roman" w:hAnsi="Times New Roman" w:eastAsia="宋体" w:cs="Arial"/>
                <w:szCs w:val="21"/>
                <w:highlight w:val="none"/>
              </w:rPr>
            </w:pPr>
          </w:p>
        </w:tc>
        <w:tc>
          <w:tcPr>
            <w:tcW w:w="2258" w:type="dxa"/>
            <w:vAlign w:val="center"/>
          </w:tcPr>
          <w:p w14:paraId="70CA5F1E">
            <w:pPr>
              <w:adjustRightInd w:val="0"/>
              <w:snapToGrid w:val="0"/>
              <w:spacing w:line="360" w:lineRule="auto"/>
              <w:jc w:val="center"/>
              <w:rPr>
                <w:rFonts w:ascii="Times New Roman" w:hAnsi="Times New Roman" w:eastAsia="宋体"/>
                <w:color w:val="000000"/>
                <w:szCs w:val="21"/>
                <w:highlight w:val="none"/>
                <w:u w:val="single"/>
              </w:rPr>
            </w:pPr>
          </w:p>
        </w:tc>
        <w:tc>
          <w:tcPr>
            <w:tcW w:w="3101" w:type="dxa"/>
            <w:vAlign w:val="center"/>
          </w:tcPr>
          <w:p w14:paraId="2503361A">
            <w:pPr>
              <w:adjustRightInd w:val="0"/>
              <w:snapToGrid w:val="0"/>
              <w:spacing w:line="360" w:lineRule="auto"/>
              <w:ind w:firstLine="360" w:firstLineChars="150"/>
              <w:jc w:val="center"/>
              <w:rPr>
                <w:rFonts w:ascii="Times New Roman" w:hAnsi="Times New Roman" w:eastAsia="宋体"/>
                <w:color w:val="000000"/>
                <w:szCs w:val="21"/>
                <w:highlight w:val="none"/>
                <w:u w:val="single"/>
              </w:rPr>
            </w:pPr>
            <w:r>
              <w:rPr>
                <w:rFonts w:ascii="Times New Roman" w:hAnsi="Times New Roman" w:eastAsia="宋体"/>
                <w:sz w:val="24"/>
                <w:highlight w:val="none"/>
              </w:rPr>
              <w:t>全启式安全阀</w:t>
            </w:r>
            <w:r>
              <w:rPr>
                <w:rFonts w:hint="eastAsia" w:ascii="Times New Roman" w:hAnsi="Times New Roman" w:eastAsia="宋体"/>
                <w:color w:val="000000"/>
                <w:szCs w:val="21"/>
                <w:highlight w:val="none"/>
                <w:u w:val="single"/>
                <w:lang w:val="en-US" w:eastAsia="zh-CN"/>
              </w:rPr>
              <w:t xml:space="preserve"> </w:t>
            </w:r>
            <w:r>
              <w:rPr>
                <w:rFonts w:hint="eastAsia" w:ascii="Times New Roman" w:hAnsi="Times New Roman" w:eastAsia="宋体"/>
                <w:color w:val="000000"/>
                <w:szCs w:val="21"/>
                <w:highlight w:val="none"/>
                <w:u w:val="single"/>
              </w:rPr>
              <w:t>DN</w:t>
            </w:r>
            <w:r>
              <w:rPr>
                <w:rFonts w:hint="eastAsia" w:ascii="Times New Roman" w:hAnsi="Times New Roman" w:eastAsia="宋体"/>
                <w:color w:val="000000"/>
                <w:szCs w:val="21"/>
                <w:highlight w:val="none"/>
                <w:u w:val="single"/>
                <w:lang w:val="en-US" w:eastAsia="zh-CN"/>
              </w:rPr>
              <w:t>80</w:t>
            </w:r>
            <w:r>
              <w:rPr>
                <w:rFonts w:hint="eastAsia" w:ascii="Times New Roman" w:hAnsi="Times New Roman" w:eastAsia="宋体"/>
                <w:color w:val="000000"/>
                <w:szCs w:val="21"/>
                <w:highlight w:val="none"/>
                <w:u w:val="single"/>
              </w:rPr>
              <w:t>/1</w:t>
            </w:r>
            <w:r>
              <w:rPr>
                <w:rFonts w:hint="eastAsia" w:ascii="Times New Roman" w:hAnsi="Times New Roman" w:eastAsia="宋体"/>
                <w:color w:val="000000"/>
                <w:szCs w:val="21"/>
                <w:highlight w:val="none"/>
                <w:u w:val="single"/>
                <w:lang w:val="en-US" w:eastAsia="zh-CN"/>
              </w:rPr>
              <w:t>0</w:t>
            </w:r>
            <w:r>
              <w:rPr>
                <w:rFonts w:hint="eastAsia" w:ascii="Times New Roman" w:hAnsi="Times New Roman" w:eastAsia="宋体"/>
                <w:color w:val="000000"/>
                <w:szCs w:val="21"/>
                <w:highlight w:val="none"/>
                <w:u w:val="single"/>
              </w:rPr>
              <w:t>0</w:t>
            </w:r>
            <w:r>
              <w:rPr>
                <w:rFonts w:hint="eastAsia" w:ascii="Times New Roman" w:hAnsi="Times New Roman" w:eastAsia="宋体"/>
                <w:color w:val="000000"/>
                <w:szCs w:val="21"/>
                <w:highlight w:val="none"/>
                <w:u w:val="single"/>
                <w:lang w:eastAsia="zh-CN"/>
              </w:rPr>
              <w:t>，</w:t>
            </w:r>
            <w:r>
              <w:rPr>
                <w:rFonts w:hint="eastAsia" w:ascii="Times New Roman" w:hAnsi="Times New Roman" w:eastAsia="宋体"/>
                <w:color w:val="000000"/>
                <w:szCs w:val="21"/>
                <w:highlight w:val="none"/>
                <w:u w:val="single"/>
              </w:rPr>
              <w:t>开启压力开启压力</w:t>
            </w:r>
            <w:r>
              <w:rPr>
                <w:rFonts w:hint="eastAsia"/>
                <w:color w:val="000000"/>
                <w:szCs w:val="21"/>
                <w:highlight w:val="none"/>
                <w:u w:val="single"/>
                <w:lang w:val="en-US" w:eastAsia="zh-CN"/>
              </w:rPr>
              <w:t>55</w:t>
            </w:r>
            <w:r>
              <w:rPr>
                <w:rFonts w:hint="eastAsia" w:ascii="Times New Roman" w:hAnsi="Times New Roman" w:eastAsia="宋体"/>
                <w:color w:val="000000"/>
                <w:szCs w:val="21"/>
                <w:highlight w:val="none"/>
                <w:u w:val="single"/>
              </w:rPr>
              <w:t>kPa</w:t>
            </w:r>
          </w:p>
        </w:tc>
        <w:tc>
          <w:tcPr>
            <w:tcW w:w="745" w:type="dxa"/>
            <w:vAlign w:val="center"/>
          </w:tcPr>
          <w:p w14:paraId="2C268373">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个</w:t>
            </w:r>
          </w:p>
        </w:tc>
        <w:tc>
          <w:tcPr>
            <w:tcW w:w="973" w:type="dxa"/>
            <w:vAlign w:val="center"/>
          </w:tcPr>
          <w:p w14:paraId="7F5AE337">
            <w:pPr>
              <w:adjustRightInd w:val="0"/>
              <w:snapToGrid w:val="0"/>
              <w:spacing w:line="360" w:lineRule="auto"/>
              <w:jc w:val="center"/>
              <w:rPr>
                <w:rFonts w:hint="eastAsia" w:ascii="Times New Roman" w:hAnsi="Times New Roman" w:eastAsia="宋体"/>
                <w:color w:val="000000"/>
                <w:szCs w:val="21"/>
                <w:highlight w:val="none"/>
                <w:u w:val="single"/>
                <w:lang w:eastAsia="zh-CN"/>
              </w:rPr>
            </w:pPr>
            <w:r>
              <w:rPr>
                <w:rFonts w:hint="eastAsia" w:ascii="Times New Roman" w:hAnsi="Times New Roman" w:eastAsia="宋体"/>
                <w:color w:val="000000"/>
                <w:szCs w:val="21"/>
                <w:highlight w:val="none"/>
                <w:u w:val="single"/>
                <w:lang w:val="en-US" w:eastAsia="zh-CN"/>
              </w:rPr>
              <w:t>1</w:t>
            </w:r>
          </w:p>
        </w:tc>
        <w:tc>
          <w:tcPr>
            <w:tcW w:w="752" w:type="dxa"/>
            <w:vAlign w:val="center"/>
          </w:tcPr>
          <w:p w14:paraId="1F4D5FFE">
            <w:pPr>
              <w:adjustRightInd w:val="0"/>
              <w:snapToGrid w:val="0"/>
              <w:spacing w:line="360" w:lineRule="auto"/>
              <w:jc w:val="center"/>
              <w:rPr>
                <w:rFonts w:ascii="Times New Roman" w:hAnsi="Times New Roman" w:eastAsia="宋体" w:cs="Arial"/>
                <w:szCs w:val="21"/>
                <w:highlight w:val="none"/>
              </w:rPr>
            </w:pPr>
          </w:p>
        </w:tc>
      </w:tr>
      <w:tr w14:paraId="4261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6" w:type="dxa"/>
            <w:vAlign w:val="center"/>
          </w:tcPr>
          <w:p w14:paraId="72E7650B">
            <w:pPr>
              <w:adjustRightInd w:val="0"/>
              <w:snapToGrid w:val="0"/>
              <w:spacing w:line="360" w:lineRule="auto"/>
              <w:jc w:val="center"/>
              <w:rPr>
                <w:rFonts w:hint="default" w:ascii="Times New Roman" w:hAnsi="Times New Roman" w:eastAsia="宋体" w:cs="Arial"/>
                <w:szCs w:val="21"/>
                <w:highlight w:val="none"/>
                <w:lang w:val="en-US" w:eastAsia="zh-CN"/>
              </w:rPr>
            </w:pPr>
            <w:r>
              <w:rPr>
                <w:rFonts w:hint="eastAsia" w:ascii="Times New Roman" w:hAnsi="Times New Roman" w:eastAsia="宋体" w:cs="Arial"/>
                <w:szCs w:val="21"/>
                <w:highlight w:val="none"/>
                <w:lang w:val="en-US" w:eastAsia="zh-CN"/>
              </w:rPr>
              <w:t>9</w:t>
            </w:r>
          </w:p>
        </w:tc>
        <w:tc>
          <w:tcPr>
            <w:tcW w:w="2258" w:type="dxa"/>
            <w:vAlign w:val="center"/>
          </w:tcPr>
          <w:p w14:paraId="5FA80E2F">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阀套式排污阀</w:t>
            </w:r>
          </w:p>
        </w:tc>
        <w:tc>
          <w:tcPr>
            <w:tcW w:w="3101" w:type="dxa"/>
            <w:vAlign w:val="center"/>
          </w:tcPr>
          <w:p w14:paraId="12031835">
            <w:pPr>
              <w:adjustRightInd w:val="0"/>
              <w:snapToGrid w:val="0"/>
              <w:spacing w:line="360" w:lineRule="auto"/>
              <w:ind w:firstLine="315" w:firstLineChars="150"/>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DN50     PN16</w:t>
            </w:r>
          </w:p>
        </w:tc>
        <w:tc>
          <w:tcPr>
            <w:tcW w:w="745" w:type="dxa"/>
            <w:vAlign w:val="center"/>
          </w:tcPr>
          <w:p w14:paraId="5265C162">
            <w:pPr>
              <w:adjustRightInd w:val="0"/>
              <w:snapToGrid w:val="0"/>
              <w:spacing w:line="360" w:lineRule="auto"/>
              <w:jc w:val="center"/>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个</w:t>
            </w:r>
          </w:p>
        </w:tc>
        <w:tc>
          <w:tcPr>
            <w:tcW w:w="973" w:type="dxa"/>
            <w:vAlign w:val="center"/>
          </w:tcPr>
          <w:p w14:paraId="6DD612B2">
            <w:pPr>
              <w:adjustRightInd w:val="0"/>
              <w:snapToGrid w:val="0"/>
              <w:spacing w:line="360" w:lineRule="auto"/>
              <w:jc w:val="center"/>
              <w:rPr>
                <w:rFonts w:hint="eastAsia" w:ascii="Times New Roman" w:hAnsi="Times New Roman" w:eastAsia="宋体"/>
                <w:color w:val="000000"/>
                <w:szCs w:val="21"/>
                <w:highlight w:val="none"/>
                <w:u w:val="single"/>
                <w:lang w:eastAsia="zh-CN"/>
              </w:rPr>
            </w:pPr>
            <w:r>
              <w:rPr>
                <w:rFonts w:hint="eastAsia" w:ascii="Times New Roman" w:hAnsi="Times New Roman" w:eastAsia="宋体"/>
                <w:color w:val="000000"/>
                <w:szCs w:val="21"/>
                <w:highlight w:val="none"/>
                <w:u w:val="single"/>
                <w:lang w:val="en-US" w:eastAsia="zh-CN"/>
              </w:rPr>
              <w:t>2</w:t>
            </w:r>
          </w:p>
        </w:tc>
        <w:tc>
          <w:tcPr>
            <w:tcW w:w="752" w:type="dxa"/>
            <w:vAlign w:val="center"/>
          </w:tcPr>
          <w:p w14:paraId="742FE4D2">
            <w:pPr>
              <w:adjustRightInd w:val="0"/>
              <w:snapToGrid w:val="0"/>
              <w:spacing w:line="360" w:lineRule="auto"/>
              <w:jc w:val="center"/>
              <w:rPr>
                <w:rFonts w:ascii="Times New Roman" w:hAnsi="Times New Roman" w:eastAsia="宋体" w:cs="Arial"/>
                <w:szCs w:val="21"/>
                <w:highlight w:val="none"/>
              </w:rPr>
            </w:pPr>
          </w:p>
        </w:tc>
      </w:tr>
    </w:tbl>
    <w:p w14:paraId="7DCE2603">
      <w:pPr>
        <w:spacing w:line="360" w:lineRule="auto"/>
        <w:jc w:val="left"/>
        <w:rPr>
          <w:rFonts w:ascii="Times New Roman" w:hAnsi="Times New Roman" w:eastAsia="宋体"/>
          <w:bCs/>
          <w:sz w:val="24"/>
          <w:highlight w:val="none"/>
          <w:shd w:val="clear" w:color="auto" w:fill="FFFFFF"/>
        </w:rPr>
      </w:pPr>
    </w:p>
    <w:p w14:paraId="052343AF">
      <w:pPr>
        <w:spacing w:line="360" w:lineRule="auto"/>
        <w:outlineLvl w:val="0"/>
        <w:rPr>
          <w:rFonts w:ascii="Times New Roman" w:hAnsi="Times New Roman" w:eastAsia="宋体"/>
          <w:b/>
          <w:sz w:val="28"/>
          <w:szCs w:val="28"/>
          <w:highlight w:val="none"/>
        </w:rPr>
      </w:pPr>
      <w:r>
        <w:rPr>
          <w:rFonts w:hint="eastAsia" w:ascii="Times New Roman" w:hAnsi="Times New Roman" w:eastAsia="宋体"/>
          <w:b/>
          <w:sz w:val="28"/>
          <w:szCs w:val="28"/>
          <w:highlight w:val="none"/>
        </w:rPr>
        <w:t>六</w:t>
      </w:r>
      <w:r>
        <w:rPr>
          <w:rFonts w:ascii="Times New Roman" w:hAnsi="Times New Roman" w:eastAsia="宋体"/>
          <w:b/>
          <w:sz w:val="28"/>
          <w:szCs w:val="28"/>
          <w:highlight w:val="none"/>
        </w:rPr>
        <w:t>、设计</w:t>
      </w:r>
      <w:r>
        <w:rPr>
          <w:rFonts w:hint="eastAsia" w:ascii="Times New Roman" w:hAnsi="Times New Roman" w:eastAsia="宋体"/>
          <w:b/>
          <w:sz w:val="28"/>
          <w:szCs w:val="28"/>
          <w:highlight w:val="none"/>
        </w:rPr>
        <w:t>参数</w:t>
      </w:r>
    </w:p>
    <w:p w14:paraId="1580DB6C">
      <w:pPr>
        <w:spacing w:line="360" w:lineRule="auto"/>
        <w:outlineLvl w:val="0"/>
        <w:rPr>
          <w:rFonts w:hint="eastAsia"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rPr>
        <w:t>1、一级调压器前管道设计压力/运行压力：</w:t>
      </w:r>
      <w:r>
        <w:rPr>
          <w:rFonts w:hint="eastAsia"/>
          <w:bCs/>
          <w:sz w:val="24"/>
          <w:highlight w:val="none"/>
          <w:shd w:val="clear" w:color="auto" w:fill="FFFFFF"/>
          <w:lang w:val="en-US" w:eastAsia="zh-CN"/>
        </w:rPr>
        <w:t>1.6</w:t>
      </w:r>
      <w:r>
        <w:rPr>
          <w:rFonts w:hint="eastAsia" w:ascii="Times New Roman" w:hAnsi="Times New Roman" w:eastAsia="宋体"/>
          <w:bCs/>
          <w:sz w:val="24"/>
          <w:highlight w:val="none"/>
          <w:shd w:val="clear" w:color="auto" w:fill="FFFFFF"/>
        </w:rPr>
        <w:t>MPa/</w:t>
      </w:r>
      <w:r>
        <w:rPr>
          <w:rFonts w:hint="eastAsia"/>
          <w:bCs/>
          <w:sz w:val="24"/>
          <w:highlight w:val="none"/>
          <w:shd w:val="clear" w:color="auto" w:fill="FFFFFF"/>
          <w:lang w:val="en-US" w:eastAsia="zh-CN"/>
        </w:rPr>
        <w:t>0.8</w:t>
      </w:r>
      <w:r>
        <w:rPr>
          <w:rFonts w:hint="eastAsia" w:ascii="Times New Roman" w:hAnsi="Times New Roman" w:eastAsia="宋体"/>
          <w:bCs/>
          <w:sz w:val="24"/>
          <w:highlight w:val="none"/>
          <w:shd w:val="clear" w:color="auto" w:fill="FFFFFF"/>
        </w:rPr>
        <w:t>~</w:t>
      </w:r>
      <w:r>
        <w:rPr>
          <w:rFonts w:hint="eastAsia"/>
          <w:bCs/>
          <w:sz w:val="24"/>
          <w:highlight w:val="none"/>
          <w:shd w:val="clear" w:color="auto" w:fill="FFFFFF"/>
          <w:lang w:val="en-US" w:eastAsia="zh-CN"/>
        </w:rPr>
        <w:t>1.4</w:t>
      </w:r>
      <w:r>
        <w:rPr>
          <w:rFonts w:hint="eastAsia" w:ascii="Times New Roman" w:hAnsi="Times New Roman" w:eastAsia="宋体"/>
          <w:bCs/>
          <w:sz w:val="24"/>
          <w:highlight w:val="none"/>
          <w:shd w:val="clear" w:color="auto" w:fill="FFFFFF"/>
        </w:rPr>
        <w:t>MPa，安全阀开启压力：</w:t>
      </w:r>
      <w:r>
        <w:rPr>
          <w:rFonts w:hint="eastAsia"/>
          <w:bCs/>
          <w:sz w:val="24"/>
          <w:highlight w:val="none"/>
          <w:shd w:val="clear" w:color="auto" w:fill="FFFFFF"/>
          <w:lang w:val="en-US" w:eastAsia="zh-CN"/>
        </w:rPr>
        <w:t>1.54</w:t>
      </w:r>
      <w:r>
        <w:rPr>
          <w:rFonts w:hint="eastAsia" w:ascii="Times New Roman" w:hAnsi="Times New Roman" w:eastAsia="宋体"/>
          <w:bCs/>
          <w:sz w:val="24"/>
          <w:highlight w:val="none"/>
          <w:shd w:val="clear" w:color="auto" w:fill="FFFFFF"/>
        </w:rPr>
        <w:t>MPa；</w:t>
      </w:r>
    </w:p>
    <w:p w14:paraId="357F80C3">
      <w:pPr>
        <w:spacing w:line="360" w:lineRule="auto"/>
        <w:outlineLvl w:val="0"/>
        <w:rPr>
          <w:rFonts w:hint="eastAsia"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rPr>
        <w:t>2、二级调压器前、一级调压器后管道设计压力/运行压力：</w:t>
      </w:r>
      <w:r>
        <w:rPr>
          <w:rFonts w:hint="eastAsia"/>
          <w:bCs/>
          <w:sz w:val="24"/>
          <w:highlight w:val="none"/>
          <w:shd w:val="clear" w:color="auto" w:fill="FFFFFF"/>
          <w:lang w:val="en-US" w:eastAsia="zh-CN"/>
        </w:rPr>
        <w:t>0.4</w:t>
      </w:r>
      <w:r>
        <w:rPr>
          <w:rFonts w:hint="eastAsia" w:ascii="Times New Roman" w:hAnsi="Times New Roman" w:eastAsia="宋体"/>
          <w:bCs/>
          <w:sz w:val="24"/>
          <w:highlight w:val="none"/>
          <w:shd w:val="clear" w:color="auto" w:fill="FFFFFF"/>
        </w:rPr>
        <w:t>MPa/</w:t>
      </w:r>
      <w:r>
        <w:rPr>
          <w:rFonts w:hint="eastAsia"/>
          <w:bCs/>
          <w:sz w:val="24"/>
          <w:highlight w:val="none"/>
          <w:shd w:val="clear" w:color="auto" w:fill="FFFFFF"/>
          <w:lang w:val="en-US" w:eastAsia="zh-CN"/>
        </w:rPr>
        <w:t>0.3</w:t>
      </w:r>
      <w:r>
        <w:rPr>
          <w:rFonts w:hint="eastAsia" w:ascii="Times New Roman" w:hAnsi="Times New Roman" w:eastAsia="宋体"/>
          <w:bCs/>
          <w:sz w:val="24"/>
          <w:highlight w:val="none"/>
          <w:shd w:val="clear" w:color="auto" w:fill="FFFFFF"/>
        </w:rPr>
        <w:t>~</w:t>
      </w:r>
      <w:r>
        <w:rPr>
          <w:rFonts w:hint="eastAsia"/>
          <w:bCs/>
          <w:sz w:val="24"/>
          <w:highlight w:val="none"/>
          <w:shd w:val="clear" w:color="auto" w:fill="FFFFFF"/>
          <w:lang w:val="en-US" w:eastAsia="zh-CN"/>
        </w:rPr>
        <w:t>0.36</w:t>
      </w:r>
      <w:r>
        <w:rPr>
          <w:rFonts w:hint="eastAsia" w:ascii="Times New Roman" w:hAnsi="Times New Roman" w:eastAsia="宋体"/>
          <w:bCs/>
          <w:sz w:val="24"/>
          <w:highlight w:val="none"/>
          <w:shd w:val="clear" w:color="auto" w:fill="FFFFFF"/>
        </w:rPr>
        <w:t>MPa，安全阀开启压力：</w:t>
      </w:r>
      <w:r>
        <w:rPr>
          <w:rFonts w:hint="eastAsia"/>
          <w:bCs/>
          <w:sz w:val="24"/>
          <w:highlight w:val="none"/>
          <w:shd w:val="clear" w:color="auto" w:fill="FFFFFF"/>
          <w:lang w:val="en-US" w:eastAsia="zh-CN"/>
        </w:rPr>
        <w:t>0.396</w:t>
      </w:r>
      <w:r>
        <w:rPr>
          <w:rFonts w:hint="eastAsia" w:ascii="Times New Roman" w:hAnsi="Times New Roman" w:eastAsia="宋体"/>
          <w:bCs/>
          <w:sz w:val="24"/>
          <w:highlight w:val="none"/>
          <w:shd w:val="clear" w:color="auto" w:fill="FFFFFF"/>
        </w:rPr>
        <w:t>MPa；</w:t>
      </w:r>
    </w:p>
    <w:p w14:paraId="5512A2D5">
      <w:pPr>
        <w:spacing w:line="360" w:lineRule="auto"/>
        <w:outlineLvl w:val="0"/>
        <w:rPr>
          <w:rFonts w:hint="eastAsia"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rPr>
        <w:t>3、二级调压器后管道设计压力/运行压力：0.</w:t>
      </w:r>
      <w:r>
        <w:rPr>
          <w:rFonts w:hint="eastAsia"/>
          <w:bCs/>
          <w:sz w:val="24"/>
          <w:highlight w:val="none"/>
          <w:shd w:val="clear" w:color="auto" w:fill="FFFFFF"/>
          <w:lang w:val="en-US" w:eastAsia="zh-CN"/>
        </w:rPr>
        <w:t>1</w:t>
      </w:r>
      <w:r>
        <w:rPr>
          <w:rFonts w:hint="eastAsia" w:ascii="Times New Roman" w:hAnsi="Times New Roman" w:eastAsia="宋体"/>
          <w:bCs/>
          <w:sz w:val="24"/>
          <w:highlight w:val="none"/>
          <w:shd w:val="clear" w:color="auto" w:fill="FFFFFF"/>
        </w:rPr>
        <w:t>MPa/</w:t>
      </w:r>
      <w:r>
        <w:rPr>
          <w:rFonts w:hint="eastAsia"/>
          <w:bCs/>
          <w:sz w:val="24"/>
          <w:highlight w:val="none"/>
          <w:shd w:val="clear" w:color="auto" w:fill="FFFFFF"/>
          <w:lang w:val="en-US" w:eastAsia="zh-CN"/>
        </w:rPr>
        <w:t>0.05</w:t>
      </w:r>
      <w:r>
        <w:rPr>
          <w:rFonts w:hint="eastAsia" w:ascii="Times New Roman" w:hAnsi="Times New Roman" w:eastAsia="宋体"/>
          <w:bCs/>
          <w:sz w:val="24"/>
          <w:highlight w:val="none"/>
          <w:shd w:val="clear" w:color="auto" w:fill="FFFFFF"/>
        </w:rPr>
        <w:t>MPa，安全阀开启压力：</w:t>
      </w:r>
      <w:r>
        <w:rPr>
          <w:rFonts w:hint="eastAsia"/>
          <w:bCs/>
          <w:sz w:val="24"/>
          <w:highlight w:val="none"/>
          <w:shd w:val="clear" w:color="auto" w:fill="FFFFFF"/>
          <w:lang w:val="en-US" w:eastAsia="zh-CN"/>
        </w:rPr>
        <w:t>0.055</w:t>
      </w:r>
      <w:r>
        <w:rPr>
          <w:rFonts w:hint="eastAsia" w:ascii="Times New Roman" w:hAnsi="Times New Roman" w:eastAsia="宋体"/>
          <w:bCs/>
          <w:sz w:val="24"/>
          <w:highlight w:val="none"/>
          <w:shd w:val="clear" w:color="auto" w:fill="FFFFFF"/>
        </w:rPr>
        <w:t xml:space="preserve">MPa； </w:t>
      </w:r>
    </w:p>
    <w:p w14:paraId="461877F8">
      <w:pPr>
        <w:spacing w:line="360" w:lineRule="auto"/>
        <w:outlineLvl w:val="0"/>
        <w:rPr>
          <w:rFonts w:hint="eastAsia"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rPr>
        <w:t>4、设计温度：</w:t>
      </w:r>
    </w:p>
    <w:p w14:paraId="56D105AE">
      <w:pPr>
        <w:spacing w:line="360" w:lineRule="auto"/>
        <w:outlineLvl w:val="0"/>
        <w:rPr>
          <w:rFonts w:hint="eastAsia"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rPr>
        <w:t>（</w:t>
      </w:r>
      <w:r>
        <w:rPr>
          <w:rFonts w:hint="eastAsia"/>
          <w:bCs/>
          <w:sz w:val="24"/>
          <w:highlight w:val="none"/>
          <w:shd w:val="clear" w:color="auto" w:fill="FFFFFF"/>
          <w:lang w:val="en-US" w:eastAsia="zh-CN"/>
        </w:rPr>
        <w:t>1</w:t>
      </w:r>
      <w:r>
        <w:rPr>
          <w:rFonts w:hint="eastAsia" w:ascii="Times New Roman" w:hAnsi="Times New Roman" w:eastAsia="宋体"/>
          <w:bCs/>
          <w:sz w:val="24"/>
          <w:highlight w:val="none"/>
          <w:shd w:val="clear" w:color="auto" w:fill="FFFFFF"/>
        </w:rPr>
        <w:t>）严寒及寒冷地区管道设计温度、运行温度分别为-39/+50℃、常温；</w:t>
      </w:r>
    </w:p>
    <w:p w14:paraId="1AD36E50">
      <w:pPr>
        <w:spacing w:line="360" w:lineRule="auto"/>
        <w:outlineLvl w:val="0"/>
        <w:rPr>
          <w:rFonts w:hint="eastAsia"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rPr>
        <w:t>5、主体设备设计工作年限</w:t>
      </w:r>
    </w:p>
    <w:p w14:paraId="7F2479F3">
      <w:pPr>
        <w:spacing w:line="360" w:lineRule="auto"/>
        <w:outlineLvl w:val="0"/>
        <w:rPr>
          <w:rFonts w:hint="eastAsia"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rPr>
        <w:t>应保证所提供的系统连续运行时间每年不少于360天，在现场工况下服务寿命最低应保证30年。</w:t>
      </w:r>
    </w:p>
    <w:p w14:paraId="43D9FD95">
      <w:pPr>
        <w:spacing w:line="360" w:lineRule="auto"/>
        <w:outlineLvl w:val="0"/>
        <w:rPr>
          <w:rFonts w:ascii="Times New Roman" w:hAnsi="Times New Roman" w:eastAsia="宋体"/>
          <w:b/>
          <w:sz w:val="28"/>
          <w:szCs w:val="28"/>
          <w:highlight w:val="none"/>
        </w:rPr>
      </w:pPr>
      <w:r>
        <w:rPr>
          <w:rFonts w:hint="eastAsia" w:ascii="Times New Roman" w:hAnsi="Times New Roman" w:eastAsia="宋体"/>
          <w:b/>
          <w:sz w:val="28"/>
          <w:szCs w:val="28"/>
          <w:highlight w:val="none"/>
        </w:rPr>
        <w:t>七</w:t>
      </w:r>
      <w:r>
        <w:rPr>
          <w:rFonts w:ascii="Times New Roman" w:hAnsi="Times New Roman" w:eastAsia="宋体"/>
          <w:b/>
          <w:sz w:val="28"/>
          <w:szCs w:val="28"/>
          <w:highlight w:val="none"/>
        </w:rPr>
        <w:t>、</w:t>
      </w:r>
      <w:r>
        <w:rPr>
          <w:rFonts w:hint="eastAsia" w:ascii="Times New Roman" w:hAnsi="Times New Roman" w:eastAsia="宋体"/>
          <w:b/>
          <w:sz w:val="28"/>
          <w:szCs w:val="28"/>
          <w:highlight w:val="none"/>
        </w:rPr>
        <w:t>材料</w:t>
      </w:r>
      <w:r>
        <w:rPr>
          <w:rFonts w:ascii="Times New Roman" w:hAnsi="Times New Roman" w:eastAsia="宋体"/>
          <w:b/>
          <w:sz w:val="28"/>
          <w:szCs w:val="28"/>
          <w:highlight w:val="none"/>
        </w:rPr>
        <w:t>选用</w:t>
      </w:r>
    </w:p>
    <w:p w14:paraId="53C14783">
      <w:pPr>
        <w:spacing w:line="360" w:lineRule="auto"/>
        <w:ind w:firstLine="480" w:firstLineChars="200"/>
        <w:jc w:val="left"/>
        <w:rPr>
          <w:rFonts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rPr>
        <w:t>1、撬内常温管道选用Q</w:t>
      </w:r>
      <w:r>
        <w:rPr>
          <w:rFonts w:ascii="Times New Roman" w:hAnsi="Times New Roman" w:eastAsia="宋体"/>
          <w:bCs/>
          <w:sz w:val="24"/>
          <w:highlight w:val="none"/>
          <w:shd w:val="clear" w:color="auto" w:fill="FFFFFF"/>
        </w:rPr>
        <w:t>355E</w:t>
      </w:r>
      <w:r>
        <w:rPr>
          <w:rFonts w:hint="eastAsia" w:ascii="Times New Roman" w:hAnsi="Times New Roman" w:eastAsia="宋体"/>
          <w:bCs/>
          <w:sz w:val="24"/>
          <w:highlight w:val="none"/>
          <w:shd w:val="clear" w:color="auto" w:fill="FFFFFF"/>
        </w:rPr>
        <w:t>无缝钢管管材，</w:t>
      </w:r>
      <w:r>
        <w:rPr>
          <w:rFonts w:hint="eastAsia" w:ascii="Times New Roman" w:hAnsi="Times New Roman" w:eastAsia="宋体"/>
          <w:b/>
          <w:bCs/>
          <w:sz w:val="24"/>
          <w:highlight w:val="none"/>
          <w:shd w:val="clear" w:color="auto" w:fill="FFFFFF"/>
        </w:rPr>
        <w:t>其质量应满足《石化和化工装置用无缝钢管》GB/T 9948-2025的要求</w:t>
      </w:r>
      <w:r>
        <w:rPr>
          <w:rFonts w:hint="eastAsia" w:ascii="Times New Roman" w:hAnsi="Times New Roman" w:eastAsia="宋体"/>
          <w:bCs/>
          <w:sz w:val="24"/>
          <w:highlight w:val="none"/>
          <w:shd w:val="clear" w:color="auto" w:fill="FFFFFF"/>
        </w:rPr>
        <w:t>。</w:t>
      </w:r>
    </w:p>
    <w:p w14:paraId="1F359ECE">
      <w:pPr>
        <w:spacing w:line="360" w:lineRule="auto"/>
        <w:ind w:firstLine="482" w:firstLineChars="200"/>
        <w:jc w:val="left"/>
        <w:rPr>
          <w:rFonts w:ascii="Times New Roman" w:hAnsi="Times New Roman" w:eastAsia="宋体"/>
          <w:b/>
          <w:bCs/>
          <w:sz w:val="24"/>
          <w:highlight w:val="none"/>
          <w:shd w:val="clear" w:color="auto" w:fill="FFFFFF"/>
        </w:rPr>
      </w:pPr>
      <w:r>
        <w:rPr>
          <w:rFonts w:hint="eastAsia" w:ascii="Times New Roman" w:hAnsi="Times New Roman" w:eastAsia="宋体"/>
          <w:b/>
          <w:bCs/>
          <w:sz w:val="24"/>
          <w:highlight w:val="none"/>
          <w:shd w:val="clear" w:color="auto" w:fill="FFFFFF"/>
          <w:lang w:val="en-US" w:eastAsia="zh-CN"/>
        </w:rPr>
        <w:t>2</w:t>
      </w:r>
      <w:r>
        <w:rPr>
          <w:rFonts w:hint="eastAsia" w:ascii="Times New Roman" w:hAnsi="Times New Roman" w:eastAsia="宋体"/>
          <w:b/>
          <w:bCs/>
          <w:sz w:val="24"/>
          <w:highlight w:val="none"/>
          <w:shd w:val="clear" w:color="auto" w:fill="FFFFFF"/>
        </w:rPr>
        <w:t>、撬内管件采用对焊管件，其标准应满足《钢制对焊管件 类型与参数》GB/T 12459-20</w:t>
      </w:r>
      <w:r>
        <w:rPr>
          <w:rFonts w:hint="eastAsia"/>
          <w:b/>
          <w:bCs/>
          <w:sz w:val="24"/>
          <w:highlight w:val="none"/>
          <w:shd w:val="clear" w:color="auto" w:fill="FFFFFF"/>
          <w:lang w:val="en-US" w:eastAsia="zh-CN"/>
        </w:rPr>
        <w:t>25</w:t>
      </w:r>
      <w:r>
        <w:rPr>
          <w:rFonts w:hint="eastAsia" w:ascii="Times New Roman" w:hAnsi="Times New Roman" w:eastAsia="宋体"/>
          <w:b/>
          <w:bCs/>
          <w:sz w:val="24"/>
          <w:highlight w:val="none"/>
          <w:shd w:val="clear" w:color="auto" w:fill="FFFFFF"/>
        </w:rPr>
        <w:t>及《钢制对焊管件  技术规范》GB/T 13401-20</w:t>
      </w:r>
      <w:r>
        <w:rPr>
          <w:rFonts w:hint="eastAsia"/>
          <w:b/>
          <w:bCs/>
          <w:sz w:val="24"/>
          <w:highlight w:val="none"/>
          <w:shd w:val="clear" w:color="auto" w:fill="FFFFFF"/>
          <w:lang w:val="en-US" w:eastAsia="zh-CN"/>
        </w:rPr>
        <w:t>25</w:t>
      </w:r>
      <w:r>
        <w:rPr>
          <w:rFonts w:hint="eastAsia" w:ascii="Times New Roman" w:hAnsi="Times New Roman" w:eastAsia="宋体"/>
          <w:b/>
          <w:bCs/>
          <w:sz w:val="24"/>
          <w:highlight w:val="none"/>
          <w:shd w:val="clear" w:color="auto" w:fill="FFFFFF"/>
        </w:rPr>
        <w:t>的要求，管件材质同管道材质。</w:t>
      </w:r>
    </w:p>
    <w:p w14:paraId="74888764">
      <w:pPr>
        <w:spacing w:line="360" w:lineRule="auto"/>
        <w:ind w:firstLine="480" w:firstLineChars="200"/>
        <w:jc w:val="left"/>
        <w:rPr>
          <w:rFonts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lang w:val="en-US" w:eastAsia="zh-CN"/>
        </w:rPr>
        <w:t>3</w:t>
      </w:r>
      <w:r>
        <w:rPr>
          <w:rFonts w:hint="eastAsia" w:ascii="Times New Roman" w:hAnsi="Times New Roman" w:eastAsia="宋体"/>
          <w:bCs/>
          <w:sz w:val="24"/>
          <w:highlight w:val="none"/>
          <w:shd w:val="clear" w:color="auto" w:fill="FFFFFF"/>
        </w:rPr>
        <w:t>、法兰选用带颈对焊（WN）钢制突面（RF）法兰，材质同所接管道，设计压力同管道设计压力，其技术性能应满足《钢制管法兰》HG/T20592-2009的要求；Q355E管道垫片选用填充改性聚四氟乙烯垫片，其技术性能执行《钢制管法兰用非金属平垫片》HG/T20606-2009。紧固件选用专用级的全螺纹螺柱和2型六角螺母，Q355E螺柱材质为35CrMo，螺母材质为30CrMo，其技术性能执行《钢制管法兰用紧固件》 HG/T 20613-2009。法兰采用Ⅱ级及以上锻件。</w:t>
      </w:r>
    </w:p>
    <w:p w14:paraId="536FF30F">
      <w:pPr>
        <w:spacing w:line="360" w:lineRule="auto"/>
        <w:ind w:firstLine="480" w:firstLineChars="200"/>
        <w:rPr>
          <w:rFonts w:ascii="Times New Roman" w:hAnsi="Times New Roman" w:eastAsia="宋体" w:cs="Arial"/>
          <w:kern w:val="0"/>
          <w:sz w:val="24"/>
          <w:highlight w:val="none"/>
        </w:rPr>
      </w:pPr>
      <w:r>
        <w:rPr>
          <w:rFonts w:hint="eastAsia" w:ascii="Times New Roman" w:hAnsi="Times New Roman" w:eastAsia="宋体"/>
          <w:bCs/>
          <w:sz w:val="24"/>
          <w:highlight w:val="none"/>
          <w:shd w:val="clear" w:color="auto" w:fill="FFFFFF"/>
          <w:lang w:val="en-US" w:eastAsia="zh-CN"/>
        </w:rPr>
        <w:t>4</w:t>
      </w:r>
      <w:r>
        <w:rPr>
          <w:rFonts w:hint="eastAsia" w:ascii="Times New Roman" w:hAnsi="Times New Roman" w:eastAsia="宋体"/>
          <w:bCs/>
          <w:sz w:val="24"/>
          <w:highlight w:val="none"/>
          <w:shd w:val="clear" w:color="auto" w:fill="FFFFFF"/>
        </w:rPr>
        <w:t>、</w:t>
      </w:r>
      <w:r>
        <w:rPr>
          <w:rFonts w:ascii="Times New Roman" w:hAnsi="Times New Roman" w:eastAsia="宋体" w:cs="Arial"/>
          <w:kern w:val="0"/>
          <w:sz w:val="24"/>
          <w:highlight w:val="none"/>
        </w:rPr>
        <w:t>撬装</w:t>
      </w:r>
      <w:r>
        <w:rPr>
          <w:rFonts w:hint="eastAsia" w:ascii="Times New Roman" w:hAnsi="Times New Roman" w:eastAsia="宋体" w:cs="Arial"/>
          <w:kern w:val="0"/>
          <w:sz w:val="24"/>
          <w:highlight w:val="none"/>
        </w:rPr>
        <w:t>设备</w:t>
      </w:r>
      <w:r>
        <w:rPr>
          <w:rFonts w:hint="eastAsia" w:ascii="Times New Roman" w:hAnsi="Times New Roman" w:eastAsia="宋体"/>
          <w:bCs/>
          <w:sz w:val="24"/>
          <w:highlight w:val="none"/>
          <w:shd w:val="clear" w:color="auto" w:fill="FFFFFF"/>
        </w:rPr>
        <w:t>钢管外径采用A系列，其</w:t>
      </w:r>
      <w:r>
        <w:rPr>
          <w:rFonts w:ascii="Times New Roman" w:hAnsi="Times New Roman" w:eastAsia="宋体" w:cs="Arial"/>
          <w:kern w:val="0"/>
          <w:sz w:val="24"/>
          <w:highlight w:val="none"/>
        </w:rPr>
        <w:t>过滤、计量、调压系统</w:t>
      </w:r>
      <w:r>
        <w:rPr>
          <w:rFonts w:hint="eastAsia" w:ascii="Times New Roman" w:hAnsi="Times New Roman" w:eastAsia="宋体" w:cs="Arial"/>
          <w:kern w:val="0"/>
          <w:sz w:val="24"/>
          <w:highlight w:val="none"/>
        </w:rPr>
        <w:t>等模块之间的连接</w:t>
      </w:r>
      <w:r>
        <w:rPr>
          <w:rFonts w:ascii="Times New Roman" w:hAnsi="Times New Roman" w:eastAsia="宋体" w:cs="Arial"/>
          <w:kern w:val="0"/>
          <w:sz w:val="24"/>
          <w:highlight w:val="none"/>
        </w:rPr>
        <w:t>均采用</w:t>
      </w:r>
      <w:r>
        <w:rPr>
          <w:rFonts w:hint="eastAsia" w:ascii="Times New Roman" w:hAnsi="Times New Roman" w:eastAsia="宋体" w:cs="Arial"/>
          <w:kern w:val="0"/>
          <w:sz w:val="24"/>
          <w:highlight w:val="none"/>
        </w:rPr>
        <w:t>带颈对焊突面法兰</w:t>
      </w:r>
      <w:r>
        <w:rPr>
          <w:rFonts w:ascii="Times New Roman" w:hAnsi="Times New Roman" w:eastAsia="宋体" w:cs="Arial"/>
          <w:kern w:val="0"/>
          <w:sz w:val="24"/>
          <w:highlight w:val="none"/>
        </w:rPr>
        <w:t>连接</w:t>
      </w:r>
      <w:r>
        <w:rPr>
          <w:rFonts w:hint="eastAsia" w:ascii="Times New Roman" w:hAnsi="Times New Roman" w:eastAsia="宋体" w:cs="Arial"/>
          <w:kern w:val="0"/>
          <w:sz w:val="24"/>
          <w:highlight w:val="none"/>
        </w:rPr>
        <w:t>，</w:t>
      </w:r>
      <w:r>
        <w:rPr>
          <w:rFonts w:ascii="Times New Roman" w:hAnsi="Times New Roman" w:eastAsia="宋体" w:cs="Arial"/>
          <w:kern w:val="0"/>
          <w:sz w:val="24"/>
          <w:highlight w:val="none"/>
        </w:rPr>
        <w:t>与撬外工艺管道的连接</w:t>
      </w:r>
      <w:r>
        <w:rPr>
          <w:rFonts w:hint="eastAsia" w:ascii="Times New Roman" w:hAnsi="Times New Roman" w:eastAsia="宋体" w:cs="Arial"/>
          <w:kern w:val="0"/>
          <w:sz w:val="24"/>
          <w:highlight w:val="none"/>
        </w:rPr>
        <w:t>也</w:t>
      </w:r>
      <w:r>
        <w:rPr>
          <w:rFonts w:ascii="Times New Roman" w:hAnsi="Times New Roman" w:eastAsia="宋体" w:cs="Arial"/>
          <w:kern w:val="0"/>
          <w:sz w:val="24"/>
          <w:highlight w:val="none"/>
        </w:rPr>
        <w:t>均采用</w:t>
      </w:r>
      <w:r>
        <w:rPr>
          <w:rFonts w:hint="eastAsia" w:ascii="Times New Roman" w:hAnsi="Times New Roman" w:eastAsia="宋体" w:cs="Arial"/>
          <w:kern w:val="0"/>
          <w:sz w:val="24"/>
          <w:highlight w:val="none"/>
        </w:rPr>
        <w:t>带颈对焊突面法兰</w:t>
      </w:r>
      <w:r>
        <w:rPr>
          <w:rFonts w:ascii="Times New Roman" w:hAnsi="Times New Roman" w:eastAsia="宋体" w:cs="Arial"/>
          <w:kern w:val="0"/>
          <w:sz w:val="24"/>
          <w:highlight w:val="none"/>
        </w:rPr>
        <w:t>连接，</w:t>
      </w:r>
      <w:r>
        <w:rPr>
          <w:rFonts w:hint="eastAsia" w:ascii="Times New Roman" w:hAnsi="Times New Roman" w:eastAsia="宋体" w:cs="Arial"/>
          <w:kern w:val="0"/>
          <w:sz w:val="24"/>
          <w:highlight w:val="none"/>
        </w:rPr>
        <w:t>设备厂家</w:t>
      </w:r>
      <w:r>
        <w:rPr>
          <w:rFonts w:ascii="Times New Roman" w:hAnsi="Times New Roman" w:eastAsia="宋体" w:cs="Arial"/>
          <w:kern w:val="0"/>
          <w:sz w:val="24"/>
          <w:highlight w:val="none"/>
        </w:rPr>
        <w:t>应提供与现场工艺管道连接用的配对法兰、密封垫、紧固件等。</w:t>
      </w:r>
    </w:p>
    <w:p w14:paraId="70BB08DB">
      <w:pPr>
        <w:spacing w:line="360" w:lineRule="auto"/>
        <w:outlineLvl w:val="0"/>
        <w:rPr>
          <w:rFonts w:ascii="Times New Roman" w:hAnsi="Times New Roman" w:eastAsia="宋体"/>
          <w:b/>
          <w:sz w:val="28"/>
          <w:szCs w:val="28"/>
          <w:highlight w:val="none"/>
        </w:rPr>
      </w:pPr>
      <w:r>
        <w:rPr>
          <w:rFonts w:hint="eastAsia" w:ascii="Times New Roman" w:hAnsi="Times New Roman" w:eastAsia="宋体"/>
          <w:b/>
          <w:sz w:val="28"/>
          <w:szCs w:val="28"/>
          <w:highlight w:val="none"/>
        </w:rPr>
        <w:t>八</w:t>
      </w:r>
      <w:r>
        <w:rPr>
          <w:rFonts w:ascii="Times New Roman" w:hAnsi="Times New Roman" w:eastAsia="宋体"/>
          <w:b/>
          <w:sz w:val="28"/>
          <w:szCs w:val="28"/>
          <w:highlight w:val="none"/>
        </w:rPr>
        <w:t>、</w:t>
      </w:r>
      <w:r>
        <w:rPr>
          <w:rFonts w:hint="eastAsia" w:ascii="Times New Roman" w:hAnsi="Times New Roman" w:eastAsia="宋体"/>
          <w:b/>
          <w:sz w:val="28"/>
          <w:szCs w:val="28"/>
          <w:highlight w:val="none"/>
        </w:rPr>
        <w:t>主要设备技术要求</w:t>
      </w:r>
    </w:p>
    <w:p w14:paraId="5BE342A6">
      <w:pPr>
        <w:spacing w:line="360" w:lineRule="auto"/>
        <w:outlineLvl w:val="0"/>
        <w:rPr>
          <w:rFonts w:ascii="Times New Roman" w:hAnsi="Times New Roman" w:eastAsia="宋体"/>
          <w:b/>
          <w:sz w:val="24"/>
          <w:highlight w:val="none"/>
        </w:rPr>
      </w:pPr>
      <w:r>
        <w:rPr>
          <w:rFonts w:hint="eastAsia" w:ascii="Times New Roman" w:hAnsi="Times New Roman" w:eastAsia="宋体"/>
          <w:b/>
          <w:sz w:val="24"/>
          <w:highlight w:val="none"/>
        </w:rPr>
        <w:t>1、过滤器</w:t>
      </w:r>
    </w:p>
    <w:p w14:paraId="35D4404E">
      <w:pPr>
        <w:spacing w:line="360" w:lineRule="auto"/>
        <w:ind w:firstLine="480"/>
        <w:outlineLvl w:val="0"/>
        <w:rPr>
          <w:rFonts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rPr>
        <w:t>本项目选用</w:t>
      </w:r>
      <w:r>
        <w:rPr>
          <w:rFonts w:hint="eastAsia" w:ascii="Times New Roman" w:hAnsi="Times New Roman" w:eastAsia="宋体"/>
          <w:bCs/>
          <w:sz w:val="24"/>
          <w:highlight w:val="none"/>
          <w:shd w:val="clear" w:color="auto" w:fill="FFFFFF"/>
          <w:lang w:val="en-US" w:eastAsia="zh-CN"/>
        </w:rPr>
        <w:t>2</w:t>
      </w:r>
      <w:r>
        <w:rPr>
          <w:rFonts w:hint="eastAsia" w:ascii="Times New Roman" w:hAnsi="Times New Roman" w:eastAsia="宋体"/>
          <w:bCs/>
          <w:sz w:val="24"/>
          <w:highlight w:val="none"/>
          <w:shd w:val="clear" w:color="auto" w:fill="FFFFFF"/>
        </w:rPr>
        <w:t>过滤器两台，1用1备，其主要技术参数如下：</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383F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76223E4D">
            <w:pPr>
              <w:spacing w:line="360" w:lineRule="auto"/>
              <w:jc w:val="center"/>
              <w:outlineLvl w:val="0"/>
              <w:rPr>
                <w:rFonts w:ascii="Times New Roman" w:hAnsi="Times New Roman" w:eastAsia="宋体"/>
                <w:b/>
                <w:bCs/>
                <w:szCs w:val="21"/>
                <w:highlight w:val="none"/>
                <w:shd w:val="clear" w:color="auto" w:fill="FFFFFF"/>
              </w:rPr>
            </w:pPr>
            <w:r>
              <w:rPr>
                <w:rFonts w:hint="eastAsia" w:ascii="Times New Roman" w:hAnsi="Times New Roman" w:eastAsia="宋体"/>
                <w:b/>
                <w:bCs/>
                <w:szCs w:val="21"/>
                <w:highlight w:val="none"/>
                <w:shd w:val="clear" w:color="auto" w:fill="FFFFFF"/>
              </w:rPr>
              <w:t>项目</w:t>
            </w:r>
          </w:p>
        </w:tc>
        <w:tc>
          <w:tcPr>
            <w:tcW w:w="2765" w:type="dxa"/>
            <w:vAlign w:val="center"/>
          </w:tcPr>
          <w:p w14:paraId="28FE94BF">
            <w:pPr>
              <w:spacing w:line="360" w:lineRule="auto"/>
              <w:jc w:val="center"/>
              <w:outlineLvl w:val="0"/>
              <w:rPr>
                <w:rFonts w:ascii="Times New Roman" w:hAnsi="Times New Roman" w:eastAsia="宋体"/>
                <w:b/>
                <w:bCs/>
                <w:szCs w:val="21"/>
                <w:highlight w:val="none"/>
                <w:shd w:val="clear" w:color="auto" w:fill="FFFFFF"/>
              </w:rPr>
            </w:pPr>
            <w:r>
              <w:rPr>
                <w:rFonts w:hint="eastAsia" w:ascii="Times New Roman" w:hAnsi="Times New Roman" w:eastAsia="宋体"/>
                <w:b/>
                <w:bCs/>
                <w:szCs w:val="21"/>
                <w:highlight w:val="none"/>
                <w:shd w:val="clear" w:color="auto" w:fill="FFFFFF"/>
              </w:rPr>
              <w:t>参数要求</w:t>
            </w:r>
          </w:p>
        </w:tc>
        <w:tc>
          <w:tcPr>
            <w:tcW w:w="2766" w:type="dxa"/>
            <w:vAlign w:val="center"/>
          </w:tcPr>
          <w:p w14:paraId="4E597C8B">
            <w:pPr>
              <w:spacing w:line="360" w:lineRule="auto"/>
              <w:jc w:val="center"/>
              <w:outlineLvl w:val="0"/>
              <w:rPr>
                <w:rFonts w:ascii="Times New Roman" w:hAnsi="Times New Roman" w:eastAsia="宋体"/>
                <w:b/>
                <w:bCs/>
                <w:szCs w:val="21"/>
                <w:highlight w:val="none"/>
                <w:shd w:val="clear" w:color="auto" w:fill="FFFFFF"/>
              </w:rPr>
            </w:pPr>
            <w:r>
              <w:rPr>
                <w:rFonts w:hint="eastAsia" w:ascii="Times New Roman" w:hAnsi="Times New Roman" w:eastAsia="宋体"/>
                <w:b/>
                <w:bCs/>
                <w:szCs w:val="21"/>
                <w:highlight w:val="none"/>
                <w:shd w:val="clear" w:color="auto" w:fill="FFFFFF"/>
              </w:rPr>
              <w:t>备注</w:t>
            </w:r>
          </w:p>
        </w:tc>
      </w:tr>
      <w:tr w14:paraId="56D9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5597FE89">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过滤规模</w:t>
            </w:r>
          </w:p>
        </w:tc>
        <w:tc>
          <w:tcPr>
            <w:tcW w:w="2765" w:type="dxa"/>
            <w:vAlign w:val="center"/>
          </w:tcPr>
          <w:p w14:paraId="6F39388C">
            <w:pPr>
              <w:spacing w:line="360" w:lineRule="auto"/>
              <w:jc w:val="center"/>
              <w:outlineLvl w:val="0"/>
              <w:rPr>
                <w:rFonts w:ascii="Times New Roman" w:hAnsi="Times New Roman" w:eastAsia="宋体"/>
                <w:color w:val="000000"/>
                <w:szCs w:val="21"/>
                <w:highlight w:val="none"/>
                <w:u w:val="single"/>
              </w:rPr>
            </w:pPr>
            <w:r>
              <w:rPr>
                <w:rFonts w:hint="eastAsia"/>
                <w:color w:val="000000"/>
                <w:szCs w:val="21"/>
                <w:highlight w:val="none"/>
                <w:u w:val="single"/>
                <w:lang w:val="en-US" w:eastAsia="zh-CN"/>
              </w:rPr>
              <w:t>33</w:t>
            </w:r>
            <w:r>
              <w:rPr>
                <w:rFonts w:ascii="Times New Roman" w:hAnsi="Times New Roman" w:eastAsia="宋体"/>
                <w:color w:val="000000"/>
                <w:szCs w:val="21"/>
                <w:highlight w:val="none"/>
                <w:u w:val="single"/>
              </w:rPr>
              <w:t>00</w:t>
            </w:r>
            <w:r>
              <w:rPr>
                <w:rFonts w:hint="eastAsia" w:ascii="Times New Roman" w:hAnsi="Times New Roman" w:eastAsia="宋体"/>
                <w:color w:val="000000"/>
                <w:szCs w:val="21"/>
                <w:highlight w:val="none"/>
                <w:u w:val="single"/>
              </w:rPr>
              <w:t>N</w:t>
            </w:r>
            <w:r>
              <w:rPr>
                <w:rFonts w:ascii="Times New Roman" w:hAnsi="Times New Roman" w:eastAsia="宋体"/>
                <w:color w:val="000000"/>
                <w:szCs w:val="21"/>
                <w:highlight w:val="none"/>
                <w:u w:val="single"/>
              </w:rPr>
              <w:t>m3/h</w:t>
            </w:r>
          </w:p>
        </w:tc>
        <w:tc>
          <w:tcPr>
            <w:tcW w:w="2766" w:type="dxa"/>
            <w:vAlign w:val="center"/>
          </w:tcPr>
          <w:p w14:paraId="78211A12">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color w:val="000000"/>
                <w:szCs w:val="21"/>
                <w:highlight w:val="none"/>
                <w:u w:val="single"/>
              </w:rPr>
              <w:t>制造标准</w:t>
            </w:r>
            <w:r>
              <w:rPr>
                <w:rFonts w:ascii="Times New Roman" w:hAnsi="Times New Roman" w:eastAsia="宋体"/>
                <w:color w:val="000000"/>
                <w:szCs w:val="21"/>
                <w:highlight w:val="none"/>
                <w:u w:val="single"/>
              </w:rPr>
              <w:t>GB/T36051-2018</w:t>
            </w:r>
          </w:p>
        </w:tc>
      </w:tr>
      <w:tr w14:paraId="0FDA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76300097">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设计压力</w:t>
            </w:r>
          </w:p>
        </w:tc>
        <w:tc>
          <w:tcPr>
            <w:tcW w:w="2765" w:type="dxa"/>
            <w:vAlign w:val="center"/>
          </w:tcPr>
          <w:p w14:paraId="66D07FC1">
            <w:pPr>
              <w:spacing w:line="360" w:lineRule="auto"/>
              <w:jc w:val="center"/>
              <w:outlineLvl w:val="0"/>
              <w:rPr>
                <w:rFonts w:ascii="Times New Roman" w:hAnsi="Times New Roman" w:eastAsia="宋体"/>
                <w:color w:val="000000"/>
                <w:szCs w:val="21"/>
                <w:highlight w:val="none"/>
                <w:u w:val="single"/>
              </w:rPr>
            </w:pPr>
            <w:r>
              <w:rPr>
                <w:rFonts w:hint="eastAsia"/>
                <w:color w:val="000000"/>
                <w:szCs w:val="21"/>
                <w:highlight w:val="none"/>
                <w:u w:val="single"/>
                <w:lang w:val="en-US" w:eastAsia="zh-CN"/>
              </w:rPr>
              <w:t>1.6</w:t>
            </w:r>
            <w:r>
              <w:rPr>
                <w:rFonts w:hint="eastAsia" w:ascii="Times New Roman" w:hAnsi="Times New Roman" w:eastAsia="宋体"/>
                <w:color w:val="000000"/>
                <w:szCs w:val="21"/>
                <w:highlight w:val="none"/>
                <w:u w:val="single"/>
              </w:rPr>
              <w:t>MPa</w:t>
            </w:r>
          </w:p>
        </w:tc>
        <w:tc>
          <w:tcPr>
            <w:tcW w:w="2766" w:type="dxa"/>
            <w:vAlign w:val="center"/>
          </w:tcPr>
          <w:p w14:paraId="2031B49B">
            <w:pPr>
              <w:spacing w:line="360" w:lineRule="auto"/>
              <w:jc w:val="center"/>
              <w:outlineLvl w:val="0"/>
              <w:rPr>
                <w:rFonts w:ascii="Times New Roman" w:hAnsi="Times New Roman" w:eastAsia="宋体"/>
                <w:bCs/>
                <w:szCs w:val="21"/>
                <w:highlight w:val="none"/>
                <w:shd w:val="clear" w:color="auto" w:fill="FFFFFF"/>
              </w:rPr>
            </w:pPr>
          </w:p>
        </w:tc>
      </w:tr>
      <w:tr w14:paraId="7D86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3F5F3826">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工作压力</w:t>
            </w:r>
          </w:p>
        </w:tc>
        <w:tc>
          <w:tcPr>
            <w:tcW w:w="2765" w:type="dxa"/>
            <w:vAlign w:val="center"/>
          </w:tcPr>
          <w:p w14:paraId="53603689">
            <w:pPr>
              <w:spacing w:line="360" w:lineRule="auto"/>
              <w:jc w:val="center"/>
              <w:outlineLvl w:val="0"/>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lang w:val="en-US" w:eastAsia="zh-CN"/>
              </w:rPr>
              <w:t>0.</w:t>
            </w:r>
            <w:r>
              <w:rPr>
                <w:rFonts w:hint="eastAsia"/>
                <w:color w:val="000000"/>
                <w:szCs w:val="21"/>
                <w:highlight w:val="none"/>
                <w:u w:val="single"/>
                <w:lang w:val="en-US" w:eastAsia="zh-CN"/>
              </w:rPr>
              <w:t>8</w:t>
            </w:r>
            <w:r>
              <w:rPr>
                <w:rFonts w:hint="eastAsia" w:ascii="Times New Roman" w:hAnsi="Times New Roman" w:eastAsia="宋体"/>
                <w:color w:val="000000"/>
                <w:szCs w:val="21"/>
                <w:highlight w:val="none"/>
                <w:u w:val="single"/>
              </w:rPr>
              <w:t>~</w:t>
            </w:r>
            <w:r>
              <w:rPr>
                <w:rFonts w:hint="eastAsia"/>
                <w:color w:val="000000"/>
                <w:szCs w:val="21"/>
                <w:highlight w:val="none"/>
                <w:u w:val="single"/>
                <w:lang w:val="en-US" w:eastAsia="zh-CN"/>
              </w:rPr>
              <w:t>1.4</w:t>
            </w:r>
            <w:r>
              <w:rPr>
                <w:rFonts w:hint="eastAsia" w:ascii="Times New Roman" w:hAnsi="Times New Roman" w:eastAsia="宋体"/>
                <w:color w:val="000000"/>
                <w:szCs w:val="21"/>
                <w:highlight w:val="none"/>
                <w:u w:val="single"/>
              </w:rPr>
              <w:t>MPa</w:t>
            </w:r>
          </w:p>
        </w:tc>
        <w:tc>
          <w:tcPr>
            <w:tcW w:w="2766" w:type="dxa"/>
            <w:vAlign w:val="center"/>
          </w:tcPr>
          <w:p w14:paraId="35452F23">
            <w:pPr>
              <w:spacing w:line="360" w:lineRule="auto"/>
              <w:jc w:val="center"/>
              <w:outlineLvl w:val="0"/>
              <w:rPr>
                <w:rFonts w:ascii="Times New Roman" w:hAnsi="Times New Roman" w:eastAsia="宋体"/>
                <w:bCs/>
                <w:szCs w:val="21"/>
                <w:highlight w:val="none"/>
                <w:shd w:val="clear" w:color="auto" w:fill="FFFFFF"/>
              </w:rPr>
            </w:pPr>
          </w:p>
        </w:tc>
      </w:tr>
      <w:tr w14:paraId="17D69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6E452DEB">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过滤精度</w:t>
            </w:r>
          </w:p>
        </w:tc>
        <w:tc>
          <w:tcPr>
            <w:tcW w:w="2765" w:type="dxa"/>
            <w:vAlign w:val="center"/>
          </w:tcPr>
          <w:p w14:paraId="2FBF99CB">
            <w:pPr>
              <w:spacing w:line="360" w:lineRule="auto"/>
              <w:jc w:val="center"/>
              <w:outlineLvl w:val="0"/>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lang w:val="en-US" w:eastAsia="zh-CN"/>
              </w:rPr>
              <w:t>不低于</w:t>
            </w:r>
            <w:r>
              <w:rPr>
                <w:rFonts w:hint="eastAsia" w:ascii="Times New Roman" w:hAnsi="Times New Roman" w:eastAsia="宋体"/>
                <w:color w:val="000000"/>
                <w:szCs w:val="21"/>
                <w:highlight w:val="none"/>
                <w:u w:val="single"/>
              </w:rPr>
              <w:t>20μm</w:t>
            </w:r>
          </w:p>
        </w:tc>
        <w:tc>
          <w:tcPr>
            <w:tcW w:w="2766" w:type="dxa"/>
            <w:vAlign w:val="center"/>
          </w:tcPr>
          <w:p w14:paraId="3169AB6B">
            <w:pPr>
              <w:spacing w:line="360" w:lineRule="auto"/>
              <w:jc w:val="center"/>
              <w:outlineLvl w:val="0"/>
              <w:rPr>
                <w:rFonts w:ascii="Times New Roman" w:hAnsi="Times New Roman" w:eastAsia="宋体"/>
                <w:bCs/>
                <w:szCs w:val="21"/>
                <w:highlight w:val="none"/>
                <w:shd w:val="clear" w:color="auto" w:fill="FFFFFF"/>
              </w:rPr>
            </w:pPr>
          </w:p>
        </w:tc>
      </w:tr>
      <w:tr w14:paraId="64721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573444E7">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滤芯材质</w:t>
            </w:r>
          </w:p>
        </w:tc>
        <w:tc>
          <w:tcPr>
            <w:tcW w:w="2765" w:type="dxa"/>
            <w:vAlign w:val="center"/>
          </w:tcPr>
          <w:p w14:paraId="06258FB4">
            <w:pPr>
              <w:spacing w:line="360" w:lineRule="auto"/>
              <w:jc w:val="center"/>
              <w:outlineLvl w:val="0"/>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304不锈钢丝网</w:t>
            </w:r>
          </w:p>
        </w:tc>
        <w:tc>
          <w:tcPr>
            <w:tcW w:w="2766" w:type="dxa"/>
            <w:vAlign w:val="center"/>
          </w:tcPr>
          <w:p w14:paraId="7A89CBB2">
            <w:pPr>
              <w:spacing w:line="360" w:lineRule="auto"/>
              <w:outlineLvl w:val="0"/>
              <w:rPr>
                <w:rFonts w:ascii="Times New Roman" w:hAnsi="Times New Roman" w:eastAsia="宋体"/>
                <w:bCs/>
                <w:szCs w:val="21"/>
                <w:highlight w:val="none"/>
                <w:shd w:val="clear" w:color="auto" w:fill="FFFFFF"/>
              </w:rPr>
            </w:pPr>
          </w:p>
        </w:tc>
      </w:tr>
      <w:tr w14:paraId="1C17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02655527">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最大压降损失</w:t>
            </w:r>
          </w:p>
        </w:tc>
        <w:tc>
          <w:tcPr>
            <w:tcW w:w="2765" w:type="dxa"/>
            <w:vAlign w:val="center"/>
          </w:tcPr>
          <w:p w14:paraId="3031FE5F">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不大于0</w:t>
            </w:r>
            <w:r>
              <w:rPr>
                <w:rFonts w:ascii="Times New Roman" w:hAnsi="Times New Roman" w:eastAsia="宋体"/>
                <w:bCs/>
                <w:szCs w:val="21"/>
                <w:highlight w:val="none"/>
                <w:shd w:val="clear" w:color="auto" w:fill="FFFFFF"/>
              </w:rPr>
              <w:t>.01</w:t>
            </w:r>
            <w:r>
              <w:rPr>
                <w:rFonts w:hint="eastAsia" w:ascii="Times New Roman" w:hAnsi="Times New Roman" w:eastAsia="宋体"/>
                <w:bCs/>
                <w:szCs w:val="21"/>
                <w:highlight w:val="none"/>
                <w:shd w:val="clear" w:color="auto" w:fill="FFFFFF"/>
              </w:rPr>
              <w:t>MPa</w:t>
            </w:r>
          </w:p>
        </w:tc>
        <w:tc>
          <w:tcPr>
            <w:tcW w:w="2766" w:type="dxa"/>
            <w:vAlign w:val="center"/>
          </w:tcPr>
          <w:p w14:paraId="38781F05">
            <w:pPr>
              <w:spacing w:line="360" w:lineRule="auto"/>
              <w:jc w:val="center"/>
              <w:outlineLvl w:val="0"/>
              <w:rPr>
                <w:rFonts w:ascii="Times New Roman" w:hAnsi="Times New Roman" w:eastAsia="宋体"/>
                <w:bCs/>
                <w:szCs w:val="21"/>
                <w:highlight w:val="none"/>
                <w:shd w:val="clear" w:color="auto" w:fill="FFFFFF"/>
              </w:rPr>
            </w:pPr>
          </w:p>
        </w:tc>
      </w:tr>
      <w:tr w14:paraId="7FE1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7B8C8BAB">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过滤元件使用寿命</w:t>
            </w:r>
          </w:p>
        </w:tc>
        <w:tc>
          <w:tcPr>
            <w:tcW w:w="2765" w:type="dxa"/>
            <w:vAlign w:val="center"/>
          </w:tcPr>
          <w:p w14:paraId="561867A6">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不少于1</w:t>
            </w:r>
            <w:r>
              <w:rPr>
                <w:rFonts w:ascii="Times New Roman" w:hAnsi="Times New Roman" w:eastAsia="宋体"/>
                <w:bCs/>
                <w:szCs w:val="21"/>
                <w:highlight w:val="none"/>
                <w:shd w:val="clear" w:color="auto" w:fill="FFFFFF"/>
              </w:rPr>
              <w:t>2</w:t>
            </w:r>
            <w:r>
              <w:rPr>
                <w:rFonts w:hint="eastAsia" w:ascii="Times New Roman" w:hAnsi="Times New Roman" w:eastAsia="宋体"/>
                <w:bCs/>
                <w:szCs w:val="21"/>
                <w:highlight w:val="none"/>
                <w:shd w:val="clear" w:color="auto" w:fill="FFFFFF"/>
              </w:rPr>
              <w:t>个月</w:t>
            </w:r>
          </w:p>
        </w:tc>
        <w:tc>
          <w:tcPr>
            <w:tcW w:w="2766" w:type="dxa"/>
            <w:vAlign w:val="center"/>
          </w:tcPr>
          <w:p w14:paraId="282450EF">
            <w:pPr>
              <w:spacing w:line="360" w:lineRule="auto"/>
              <w:jc w:val="center"/>
              <w:outlineLvl w:val="0"/>
              <w:rPr>
                <w:rFonts w:ascii="Times New Roman" w:hAnsi="Times New Roman" w:eastAsia="宋体"/>
                <w:bCs/>
                <w:szCs w:val="21"/>
                <w:highlight w:val="none"/>
                <w:shd w:val="clear" w:color="auto" w:fill="FFFFFF"/>
              </w:rPr>
            </w:pPr>
          </w:p>
        </w:tc>
      </w:tr>
      <w:tr w14:paraId="2941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4BFEC3C8">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其他要求</w:t>
            </w:r>
          </w:p>
        </w:tc>
        <w:tc>
          <w:tcPr>
            <w:tcW w:w="2765" w:type="dxa"/>
            <w:vAlign w:val="center"/>
          </w:tcPr>
          <w:p w14:paraId="1BFAE743">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配差压变送器、排污截止阀和阀套式排污阀；</w:t>
            </w:r>
            <w:r>
              <w:rPr>
                <w:rFonts w:hint="eastAsia" w:ascii="Times New Roman" w:hAnsi="Times New Roman" w:eastAsia="宋体"/>
                <w:color w:val="000000"/>
                <w:szCs w:val="21"/>
                <w:highlight w:val="none"/>
                <w:u w:val="single"/>
              </w:rPr>
              <w:t>筒体开闭应采用环锁式快开盲板</w:t>
            </w:r>
          </w:p>
        </w:tc>
        <w:tc>
          <w:tcPr>
            <w:tcW w:w="2766" w:type="dxa"/>
            <w:vAlign w:val="center"/>
          </w:tcPr>
          <w:p w14:paraId="574D2B3A">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color w:val="000000"/>
                <w:szCs w:val="21"/>
                <w:highlight w:val="none"/>
                <w:u w:val="single"/>
              </w:rPr>
              <w:t>过滤器初始阻力不宜大于70kPa，快开盲板式过滤器</w:t>
            </w:r>
          </w:p>
        </w:tc>
      </w:tr>
    </w:tbl>
    <w:p w14:paraId="6009FBE1">
      <w:pPr>
        <w:spacing w:line="360" w:lineRule="auto"/>
        <w:ind w:firstLine="480"/>
        <w:outlineLvl w:val="0"/>
        <w:rPr>
          <w:rFonts w:ascii="Times New Roman" w:hAnsi="Times New Roman" w:eastAsia="宋体"/>
          <w:bCs/>
          <w:sz w:val="24"/>
          <w:highlight w:val="none"/>
          <w:shd w:val="clear" w:color="auto" w:fill="FFFFFF"/>
        </w:rPr>
      </w:pPr>
    </w:p>
    <w:p w14:paraId="3D663F3B">
      <w:pPr>
        <w:spacing w:line="360" w:lineRule="auto"/>
        <w:outlineLvl w:val="0"/>
        <w:rPr>
          <w:rFonts w:ascii="Times New Roman" w:hAnsi="Times New Roman" w:eastAsia="宋体"/>
          <w:b/>
          <w:bCs/>
          <w:sz w:val="24"/>
          <w:highlight w:val="yellow"/>
          <w:shd w:val="clear" w:color="auto" w:fill="FFFFFF"/>
        </w:rPr>
      </w:pPr>
      <w:r>
        <w:rPr>
          <w:rFonts w:hint="eastAsia" w:ascii="Times New Roman" w:hAnsi="Times New Roman" w:eastAsia="宋体"/>
          <w:b/>
          <w:bCs/>
          <w:sz w:val="24"/>
          <w:highlight w:val="yellow"/>
          <w:shd w:val="clear" w:color="auto" w:fill="FFFFFF"/>
          <w:lang w:val="en-US" w:eastAsia="zh-CN"/>
        </w:rPr>
        <w:t>2</w:t>
      </w:r>
      <w:r>
        <w:rPr>
          <w:rFonts w:hint="eastAsia" w:ascii="Times New Roman" w:hAnsi="Times New Roman" w:eastAsia="宋体"/>
          <w:b/>
          <w:bCs/>
          <w:sz w:val="24"/>
          <w:highlight w:val="yellow"/>
          <w:shd w:val="clear" w:color="auto" w:fill="FFFFFF"/>
        </w:rPr>
        <w:t>、流量计</w:t>
      </w:r>
    </w:p>
    <w:tbl>
      <w:tblPr>
        <w:tblStyle w:val="15"/>
        <w:tblpPr w:leftFromText="180" w:rightFromText="180" w:vertAnchor="text" w:horzAnchor="page" w:tblpX="1924" w:tblpY="46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46BE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Align w:val="center"/>
          </w:tcPr>
          <w:p w14:paraId="4EF8AA3C">
            <w:pPr>
              <w:spacing w:line="360" w:lineRule="auto"/>
              <w:jc w:val="center"/>
              <w:outlineLvl w:val="0"/>
              <w:rPr>
                <w:rFonts w:ascii="Times New Roman" w:hAnsi="Times New Roman" w:eastAsia="宋体"/>
                <w:b/>
                <w:bCs/>
                <w:color w:val="auto"/>
                <w:szCs w:val="21"/>
                <w:highlight w:val="none"/>
                <w:shd w:val="clear" w:color="auto" w:fill="FFFFFF"/>
              </w:rPr>
            </w:pPr>
            <w:r>
              <w:rPr>
                <w:rFonts w:hint="eastAsia" w:ascii="Times New Roman" w:hAnsi="Times New Roman" w:eastAsia="宋体"/>
                <w:b/>
                <w:bCs/>
                <w:color w:val="auto"/>
                <w:szCs w:val="21"/>
                <w:highlight w:val="none"/>
                <w:shd w:val="clear" w:color="auto" w:fill="FFFFFF"/>
              </w:rPr>
              <w:t>项目</w:t>
            </w:r>
          </w:p>
        </w:tc>
        <w:tc>
          <w:tcPr>
            <w:tcW w:w="2765" w:type="dxa"/>
            <w:vAlign w:val="center"/>
          </w:tcPr>
          <w:p w14:paraId="0A215A9D">
            <w:pPr>
              <w:spacing w:line="360" w:lineRule="auto"/>
              <w:jc w:val="center"/>
              <w:outlineLvl w:val="0"/>
              <w:rPr>
                <w:rFonts w:ascii="Times New Roman" w:hAnsi="Times New Roman" w:eastAsia="宋体"/>
                <w:b/>
                <w:bCs/>
                <w:color w:val="auto"/>
                <w:szCs w:val="21"/>
                <w:highlight w:val="none"/>
                <w:shd w:val="clear" w:color="auto" w:fill="FFFFFF"/>
              </w:rPr>
            </w:pPr>
            <w:r>
              <w:rPr>
                <w:rFonts w:hint="eastAsia" w:ascii="Times New Roman" w:hAnsi="Times New Roman" w:eastAsia="宋体"/>
                <w:b/>
                <w:bCs/>
                <w:color w:val="auto"/>
                <w:szCs w:val="21"/>
                <w:highlight w:val="none"/>
                <w:shd w:val="clear" w:color="auto" w:fill="FFFFFF"/>
              </w:rPr>
              <w:t>参数要求</w:t>
            </w:r>
          </w:p>
        </w:tc>
        <w:tc>
          <w:tcPr>
            <w:tcW w:w="2766" w:type="dxa"/>
            <w:vAlign w:val="center"/>
          </w:tcPr>
          <w:p w14:paraId="536EED74">
            <w:pPr>
              <w:spacing w:line="360" w:lineRule="auto"/>
              <w:jc w:val="center"/>
              <w:outlineLvl w:val="0"/>
              <w:rPr>
                <w:rFonts w:ascii="Times New Roman" w:hAnsi="Times New Roman" w:eastAsia="宋体"/>
                <w:b/>
                <w:bCs/>
                <w:color w:val="auto"/>
                <w:szCs w:val="21"/>
                <w:highlight w:val="none"/>
                <w:shd w:val="clear" w:color="auto" w:fill="FFFFFF"/>
              </w:rPr>
            </w:pPr>
            <w:r>
              <w:rPr>
                <w:rFonts w:hint="eastAsia" w:ascii="Times New Roman" w:hAnsi="Times New Roman" w:eastAsia="宋体"/>
                <w:b/>
                <w:bCs/>
                <w:color w:val="auto"/>
                <w:szCs w:val="21"/>
                <w:highlight w:val="none"/>
                <w:shd w:val="clear" w:color="auto" w:fill="FFFFFF"/>
              </w:rPr>
              <w:t>备注</w:t>
            </w:r>
          </w:p>
        </w:tc>
      </w:tr>
      <w:tr w14:paraId="2E41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Align w:val="center"/>
          </w:tcPr>
          <w:p w14:paraId="301D55B8">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bCs/>
                <w:color w:val="auto"/>
                <w:szCs w:val="21"/>
                <w:highlight w:val="none"/>
                <w:shd w:val="clear" w:color="auto" w:fill="FFFFFF"/>
              </w:rPr>
              <w:t>计量规模</w:t>
            </w:r>
          </w:p>
        </w:tc>
        <w:tc>
          <w:tcPr>
            <w:tcW w:w="2765" w:type="dxa"/>
            <w:vAlign w:val="center"/>
          </w:tcPr>
          <w:p w14:paraId="263807A9">
            <w:pPr>
              <w:spacing w:line="360" w:lineRule="auto"/>
              <w:jc w:val="center"/>
              <w:outlineLvl w:val="0"/>
              <w:rPr>
                <w:rFonts w:ascii="Times New Roman" w:hAnsi="Times New Roman" w:eastAsia="宋体"/>
                <w:color w:val="auto"/>
                <w:szCs w:val="21"/>
                <w:highlight w:val="none"/>
                <w:u w:val="single"/>
              </w:rPr>
            </w:pPr>
            <w:r>
              <w:rPr>
                <w:rFonts w:hint="eastAsia" w:ascii="Times New Roman" w:hAnsi="Times New Roman" w:eastAsia="宋体"/>
                <w:color w:val="auto"/>
                <w:szCs w:val="21"/>
                <w:highlight w:val="none"/>
                <w:u w:val="single"/>
                <w:lang w:val="en-US" w:eastAsia="zh-CN"/>
              </w:rPr>
              <w:t>≥</w:t>
            </w:r>
            <w:r>
              <w:rPr>
                <w:rFonts w:hint="eastAsia"/>
                <w:color w:val="auto"/>
                <w:szCs w:val="21"/>
                <w:highlight w:val="none"/>
                <w:u w:val="single"/>
                <w:lang w:val="en-US" w:eastAsia="zh-CN"/>
              </w:rPr>
              <w:t>4000</w:t>
            </w:r>
            <w:r>
              <w:rPr>
                <w:rFonts w:hint="eastAsia" w:ascii="Times New Roman" w:hAnsi="Times New Roman" w:eastAsia="宋体"/>
                <w:color w:val="auto"/>
                <w:szCs w:val="21"/>
                <w:highlight w:val="none"/>
                <w:u w:val="single"/>
              </w:rPr>
              <w:t>N</w:t>
            </w:r>
            <w:r>
              <w:rPr>
                <w:rFonts w:ascii="Times New Roman" w:hAnsi="Times New Roman" w:eastAsia="宋体"/>
                <w:color w:val="auto"/>
                <w:szCs w:val="21"/>
                <w:highlight w:val="none"/>
                <w:u w:val="single"/>
              </w:rPr>
              <w:t>m3/h</w:t>
            </w:r>
          </w:p>
        </w:tc>
        <w:tc>
          <w:tcPr>
            <w:tcW w:w="2766" w:type="dxa"/>
            <w:vAlign w:val="center"/>
          </w:tcPr>
          <w:p w14:paraId="7CFBC3AE">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bCs/>
                <w:color w:val="auto"/>
                <w:szCs w:val="21"/>
                <w:highlight w:val="none"/>
                <w:shd w:val="clear" w:color="auto" w:fill="FFFFFF"/>
              </w:rPr>
              <w:t>2路，1开1备</w:t>
            </w:r>
          </w:p>
        </w:tc>
      </w:tr>
      <w:tr w14:paraId="2F3F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Align w:val="center"/>
          </w:tcPr>
          <w:p w14:paraId="1D7DA9DF">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bCs/>
                <w:color w:val="auto"/>
                <w:szCs w:val="21"/>
                <w:highlight w:val="none"/>
                <w:shd w:val="clear" w:color="auto" w:fill="FFFFFF"/>
              </w:rPr>
              <w:t>流量计设计压力</w:t>
            </w:r>
          </w:p>
        </w:tc>
        <w:tc>
          <w:tcPr>
            <w:tcW w:w="2765" w:type="dxa"/>
            <w:vAlign w:val="center"/>
          </w:tcPr>
          <w:p w14:paraId="7768AF67">
            <w:pPr>
              <w:spacing w:line="360" w:lineRule="auto"/>
              <w:jc w:val="center"/>
              <w:outlineLvl w:val="0"/>
              <w:rPr>
                <w:rFonts w:ascii="Times New Roman" w:hAnsi="Times New Roman" w:eastAsia="宋体"/>
                <w:color w:val="auto"/>
                <w:szCs w:val="21"/>
                <w:highlight w:val="none"/>
                <w:u w:val="single"/>
              </w:rPr>
            </w:pPr>
            <w:r>
              <w:rPr>
                <w:rFonts w:hint="eastAsia" w:ascii="Times New Roman" w:hAnsi="Times New Roman" w:eastAsia="宋体"/>
                <w:color w:val="auto"/>
                <w:szCs w:val="21"/>
                <w:highlight w:val="none"/>
                <w:u w:val="single"/>
                <w:lang w:val="en-US" w:eastAsia="zh-CN"/>
              </w:rPr>
              <w:t>0.4</w:t>
            </w:r>
            <w:r>
              <w:rPr>
                <w:rFonts w:hint="eastAsia" w:ascii="Times New Roman" w:hAnsi="Times New Roman" w:eastAsia="宋体"/>
                <w:color w:val="auto"/>
                <w:szCs w:val="21"/>
                <w:highlight w:val="none"/>
                <w:u w:val="single"/>
              </w:rPr>
              <w:t>MPa</w:t>
            </w:r>
          </w:p>
        </w:tc>
        <w:tc>
          <w:tcPr>
            <w:tcW w:w="2766" w:type="dxa"/>
            <w:vAlign w:val="center"/>
          </w:tcPr>
          <w:p w14:paraId="69E475F5">
            <w:pPr>
              <w:spacing w:line="360" w:lineRule="auto"/>
              <w:jc w:val="center"/>
              <w:outlineLvl w:val="0"/>
              <w:rPr>
                <w:rFonts w:ascii="Times New Roman" w:hAnsi="Times New Roman" w:eastAsia="宋体"/>
                <w:bCs/>
                <w:color w:val="auto"/>
                <w:szCs w:val="21"/>
                <w:highlight w:val="none"/>
                <w:shd w:val="clear" w:color="auto" w:fill="FFFFFF"/>
              </w:rPr>
            </w:pPr>
          </w:p>
        </w:tc>
      </w:tr>
      <w:tr w14:paraId="1D9F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Align w:val="center"/>
          </w:tcPr>
          <w:p w14:paraId="660E3134">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bCs/>
                <w:color w:val="auto"/>
                <w:szCs w:val="21"/>
                <w:highlight w:val="none"/>
                <w:shd w:val="clear" w:color="auto" w:fill="FFFFFF"/>
              </w:rPr>
              <w:t>流量计工作压力</w:t>
            </w:r>
          </w:p>
        </w:tc>
        <w:tc>
          <w:tcPr>
            <w:tcW w:w="2765" w:type="dxa"/>
            <w:vAlign w:val="center"/>
          </w:tcPr>
          <w:p w14:paraId="75541F11">
            <w:pPr>
              <w:spacing w:line="360" w:lineRule="auto"/>
              <w:jc w:val="center"/>
              <w:outlineLvl w:val="0"/>
              <w:rPr>
                <w:rFonts w:ascii="Times New Roman" w:hAnsi="Times New Roman" w:eastAsia="宋体"/>
                <w:color w:val="auto"/>
                <w:szCs w:val="21"/>
                <w:highlight w:val="none"/>
                <w:u w:val="single"/>
              </w:rPr>
            </w:pPr>
            <w:r>
              <w:rPr>
                <w:rFonts w:hint="eastAsia" w:ascii="Times New Roman" w:hAnsi="Times New Roman" w:eastAsia="宋体"/>
                <w:color w:val="auto"/>
                <w:szCs w:val="21"/>
                <w:highlight w:val="none"/>
                <w:u w:val="single"/>
                <w:lang w:val="en-US" w:eastAsia="zh-CN"/>
              </w:rPr>
              <w:t>0.3</w:t>
            </w:r>
            <w:r>
              <w:rPr>
                <w:rFonts w:hint="eastAsia" w:ascii="Times New Roman" w:hAnsi="Times New Roman" w:eastAsia="宋体"/>
                <w:color w:val="auto"/>
                <w:szCs w:val="21"/>
                <w:highlight w:val="none"/>
                <w:u w:val="single"/>
              </w:rPr>
              <w:t>~</w:t>
            </w:r>
            <w:r>
              <w:rPr>
                <w:rFonts w:hint="eastAsia" w:ascii="Times New Roman" w:hAnsi="Times New Roman" w:eastAsia="宋体"/>
                <w:color w:val="auto"/>
                <w:szCs w:val="21"/>
                <w:highlight w:val="none"/>
                <w:u w:val="single"/>
                <w:lang w:val="en-US" w:eastAsia="zh-CN"/>
              </w:rPr>
              <w:t>0.36</w:t>
            </w:r>
            <w:r>
              <w:rPr>
                <w:rFonts w:hint="eastAsia" w:ascii="Times New Roman" w:hAnsi="Times New Roman" w:eastAsia="宋体"/>
                <w:color w:val="auto"/>
                <w:szCs w:val="21"/>
                <w:highlight w:val="none"/>
                <w:u w:val="single"/>
              </w:rPr>
              <w:t>MPa</w:t>
            </w:r>
          </w:p>
        </w:tc>
        <w:tc>
          <w:tcPr>
            <w:tcW w:w="2766" w:type="dxa"/>
            <w:vAlign w:val="center"/>
          </w:tcPr>
          <w:p w14:paraId="3B7ABBB2">
            <w:pPr>
              <w:spacing w:line="360" w:lineRule="auto"/>
              <w:jc w:val="center"/>
              <w:outlineLvl w:val="0"/>
              <w:rPr>
                <w:rFonts w:ascii="Times New Roman" w:hAnsi="Times New Roman" w:eastAsia="宋体"/>
                <w:bCs/>
                <w:color w:val="auto"/>
                <w:szCs w:val="21"/>
                <w:highlight w:val="none"/>
                <w:shd w:val="clear" w:color="auto" w:fill="FFFFFF"/>
              </w:rPr>
            </w:pPr>
          </w:p>
        </w:tc>
      </w:tr>
      <w:tr w14:paraId="2C3F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Align w:val="center"/>
          </w:tcPr>
          <w:p w14:paraId="1DFE938C">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bCs/>
                <w:color w:val="auto"/>
                <w:szCs w:val="21"/>
                <w:highlight w:val="none"/>
                <w:shd w:val="clear" w:color="auto" w:fill="FFFFFF"/>
              </w:rPr>
              <w:t>计量精度</w:t>
            </w:r>
          </w:p>
        </w:tc>
        <w:tc>
          <w:tcPr>
            <w:tcW w:w="2765" w:type="dxa"/>
            <w:vAlign w:val="center"/>
          </w:tcPr>
          <w:p w14:paraId="70256B52">
            <w:pPr>
              <w:spacing w:line="360" w:lineRule="auto"/>
              <w:jc w:val="center"/>
              <w:outlineLvl w:val="0"/>
              <w:rPr>
                <w:rFonts w:ascii="Times New Roman" w:hAnsi="Times New Roman" w:eastAsia="宋体"/>
                <w:color w:val="auto"/>
                <w:szCs w:val="21"/>
                <w:highlight w:val="none"/>
                <w:u w:val="single"/>
              </w:rPr>
            </w:pPr>
            <w:r>
              <w:rPr>
                <w:rFonts w:ascii="Times New Roman" w:hAnsi="Times New Roman" w:eastAsia="宋体"/>
                <w:color w:val="auto"/>
                <w:szCs w:val="21"/>
                <w:highlight w:val="none"/>
                <w:u w:val="single"/>
              </w:rPr>
              <w:t>1.</w:t>
            </w:r>
            <w:r>
              <w:rPr>
                <w:rFonts w:hint="eastAsia" w:ascii="Times New Roman" w:hAnsi="Times New Roman" w:eastAsia="宋体"/>
                <w:color w:val="auto"/>
                <w:szCs w:val="21"/>
                <w:highlight w:val="none"/>
                <w:u w:val="single"/>
                <w:lang w:val="en-US" w:eastAsia="zh-CN"/>
              </w:rPr>
              <w:t>0</w:t>
            </w:r>
            <w:r>
              <w:rPr>
                <w:rFonts w:hint="eastAsia" w:ascii="Times New Roman" w:hAnsi="Times New Roman" w:eastAsia="宋体"/>
                <w:color w:val="auto"/>
                <w:szCs w:val="21"/>
                <w:highlight w:val="none"/>
                <w:u w:val="single"/>
              </w:rPr>
              <w:t>级</w:t>
            </w:r>
          </w:p>
        </w:tc>
        <w:tc>
          <w:tcPr>
            <w:tcW w:w="2766" w:type="dxa"/>
            <w:vAlign w:val="center"/>
          </w:tcPr>
          <w:p w14:paraId="7CF7136D">
            <w:pPr>
              <w:spacing w:line="360" w:lineRule="auto"/>
              <w:jc w:val="center"/>
              <w:outlineLvl w:val="0"/>
              <w:rPr>
                <w:rFonts w:ascii="Times New Roman" w:hAnsi="Times New Roman" w:eastAsia="宋体"/>
                <w:bCs/>
                <w:color w:val="auto"/>
                <w:szCs w:val="21"/>
                <w:highlight w:val="none"/>
                <w:shd w:val="clear" w:color="auto" w:fill="FFFFFF"/>
              </w:rPr>
            </w:pPr>
            <w:r>
              <w:rPr>
                <w:rFonts w:ascii="Times New Roman" w:hAnsi="Times New Roman" w:eastAsia="宋体"/>
                <w:bCs/>
                <w:color w:val="auto"/>
                <w:szCs w:val="21"/>
                <w:highlight w:val="none"/>
                <w:shd w:val="clear" w:color="auto" w:fill="FFFFFF"/>
              </w:rPr>
              <w:t>根据业主要求确定</w:t>
            </w:r>
          </w:p>
        </w:tc>
      </w:tr>
      <w:tr w14:paraId="4EA2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Align w:val="center"/>
          </w:tcPr>
          <w:p w14:paraId="2DA5199D">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bCs/>
                <w:color w:val="auto"/>
                <w:szCs w:val="21"/>
                <w:highlight w:val="none"/>
                <w:shd w:val="clear" w:color="auto" w:fill="FFFFFF"/>
              </w:rPr>
              <w:t>防爆要求</w:t>
            </w:r>
          </w:p>
        </w:tc>
        <w:tc>
          <w:tcPr>
            <w:tcW w:w="2765" w:type="dxa"/>
            <w:vAlign w:val="center"/>
          </w:tcPr>
          <w:p w14:paraId="69F09473">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bCs/>
                <w:color w:val="auto"/>
                <w:szCs w:val="21"/>
                <w:highlight w:val="none"/>
                <w:shd w:val="clear" w:color="auto" w:fill="FFFFFF"/>
              </w:rPr>
              <w:t>ExdⅡBT4/IP65</w:t>
            </w:r>
          </w:p>
        </w:tc>
        <w:tc>
          <w:tcPr>
            <w:tcW w:w="2766" w:type="dxa"/>
            <w:vAlign w:val="center"/>
          </w:tcPr>
          <w:p w14:paraId="511568B8">
            <w:pPr>
              <w:spacing w:line="360" w:lineRule="auto"/>
              <w:jc w:val="center"/>
              <w:outlineLvl w:val="0"/>
              <w:rPr>
                <w:rFonts w:ascii="Times New Roman" w:hAnsi="Times New Roman" w:eastAsia="宋体"/>
                <w:bCs/>
                <w:color w:val="auto"/>
                <w:szCs w:val="21"/>
                <w:highlight w:val="none"/>
                <w:shd w:val="clear" w:color="auto" w:fill="FFFFFF"/>
              </w:rPr>
            </w:pPr>
          </w:p>
        </w:tc>
      </w:tr>
      <w:tr w14:paraId="3D27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Align w:val="center"/>
          </w:tcPr>
          <w:p w14:paraId="67EB4709">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bCs/>
                <w:color w:val="auto"/>
                <w:szCs w:val="21"/>
                <w:highlight w:val="none"/>
                <w:shd w:val="clear" w:color="auto" w:fill="FFFFFF"/>
              </w:rPr>
              <w:t>直管段要求</w:t>
            </w:r>
          </w:p>
        </w:tc>
        <w:tc>
          <w:tcPr>
            <w:tcW w:w="2765" w:type="dxa"/>
            <w:vAlign w:val="center"/>
          </w:tcPr>
          <w:p w14:paraId="7B4D656E">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color w:val="auto"/>
                <w:sz w:val="24"/>
                <w:szCs w:val="24"/>
              </w:rPr>
              <w:t>前直管段＞</w:t>
            </w:r>
            <w:r>
              <w:rPr>
                <w:rFonts w:hint="eastAsia"/>
                <w:color w:val="auto"/>
                <w:sz w:val="24"/>
                <w:szCs w:val="24"/>
                <w:lang w:val="en-US" w:eastAsia="zh-CN"/>
              </w:rPr>
              <w:t>5</w:t>
            </w:r>
            <w:r>
              <w:rPr>
                <w:rFonts w:hint="eastAsia" w:ascii="Times New Roman" w:hAnsi="Times New Roman" w:eastAsia="宋体"/>
                <w:color w:val="auto"/>
                <w:sz w:val="24"/>
                <w:szCs w:val="24"/>
              </w:rPr>
              <w:t>D,后直管段＞5D</w:t>
            </w:r>
          </w:p>
        </w:tc>
        <w:tc>
          <w:tcPr>
            <w:tcW w:w="2766" w:type="dxa"/>
            <w:vAlign w:val="center"/>
          </w:tcPr>
          <w:p w14:paraId="0A196D5B">
            <w:pPr>
              <w:spacing w:line="360" w:lineRule="auto"/>
              <w:jc w:val="center"/>
              <w:outlineLvl w:val="0"/>
              <w:rPr>
                <w:rFonts w:ascii="Times New Roman" w:hAnsi="Times New Roman" w:eastAsia="宋体"/>
                <w:bCs/>
                <w:color w:val="auto"/>
                <w:szCs w:val="21"/>
                <w:highlight w:val="none"/>
                <w:shd w:val="clear" w:color="auto" w:fill="FFFFFF"/>
              </w:rPr>
            </w:pPr>
          </w:p>
        </w:tc>
      </w:tr>
      <w:tr w14:paraId="57FA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Align w:val="center"/>
          </w:tcPr>
          <w:p w14:paraId="3CA65B1B">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bCs/>
                <w:color w:val="auto"/>
                <w:szCs w:val="21"/>
                <w:highlight w:val="none"/>
                <w:shd w:val="clear" w:color="auto" w:fill="FFFFFF"/>
              </w:rPr>
              <w:t>其他要求</w:t>
            </w:r>
          </w:p>
        </w:tc>
        <w:tc>
          <w:tcPr>
            <w:tcW w:w="2765" w:type="dxa"/>
            <w:vAlign w:val="center"/>
          </w:tcPr>
          <w:p w14:paraId="14D0D951">
            <w:pPr>
              <w:spacing w:line="360" w:lineRule="auto"/>
              <w:jc w:val="center"/>
              <w:outlineLvl w:val="0"/>
              <w:rPr>
                <w:rFonts w:ascii="Times New Roman" w:hAnsi="Times New Roman" w:eastAsia="宋体"/>
                <w:bCs/>
                <w:color w:val="auto"/>
                <w:szCs w:val="21"/>
                <w:highlight w:val="none"/>
                <w:shd w:val="clear" w:color="auto" w:fill="FFFFFF"/>
              </w:rPr>
            </w:pPr>
            <w:r>
              <w:rPr>
                <w:rFonts w:hint="eastAsia" w:ascii="Times New Roman" w:hAnsi="Times New Roman" w:eastAsia="宋体"/>
                <w:bCs/>
                <w:color w:val="auto"/>
                <w:szCs w:val="21"/>
                <w:highlight w:val="none"/>
                <w:shd w:val="clear" w:color="auto" w:fill="FFFFFF"/>
              </w:rPr>
              <w:t>甲供，</w:t>
            </w:r>
            <w:r>
              <w:rPr>
                <w:rFonts w:hint="eastAsia" w:ascii="Times New Roman" w:hAnsi="Times New Roman" w:eastAsia="宋体"/>
                <w:color w:val="auto"/>
                <w:sz w:val="24"/>
                <w:szCs w:val="24"/>
              </w:rPr>
              <w:t>中压计量，两台</w:t>
            </w:r>
            <w:r>
              <w:rPr>
                <w:rFonts w:hint="eastAsia"/>
                <w:color w:val="auto"/>
                <w:sz w:val="24"/>
                <w:szCs w:val="24"/>
                <w:lang w:val="en-US" w:eastAsia="zh-CN"/>
              </w:rPr>
              <w:t>全量程</w:t>
            </w:r>
            <w:r>
              <w:rPr>
                <w:rFonts w:hint="eastAsia" w:ascii="Times New Roman" w:hAnsi="Times New Roman" w:eastAsia="宋体"/>
                <w:color w:val="auto"/>
                <w:sz w:val="24"/>
                <w:szCs w:val="24"/>
              </w:rPr>
              <w:t>流量计，物联网功能，1.0级 1.6Mpa DN</w:t>
            </w:r>
            <w:r>
              <w:rPr>
                <w:rFonts w:hint="eastAsia"/>
                <w:color w:val="auto"/>
                <w:sz w:val="24"/>
                <w:szCs w:val="24"/>
                <w:lang w:val="en-US" w:eastAsia="zh-CN"/>
              </w:rPr>
              <w:t>100</w:t>
            </w:r>
            <w:r>
              <w:rPr>
                <w:rFonts w:hint="eastAsia" w:ascii="Times New Roman" w:hAnsi="Times New Roman" w:eastAsia="宋体"/>
                <w:color w:val="auto"/>
                <w:sz w:val="24"/>
                <w:szCs w:val="24"/>
              </w:rPr>
              <w:t>，流量范围</w:t>
            </w:r>
            <w:r>
              <w:rPr>
                <w:rFonts w:hint="eastAsia" w:ascii="Times New Roman" w:hAnsi="Times New Roman" w:eastAsia="宋体"/>
                <w:color w:val="auto"/>
                <w:sz w:val="24"/>
                <w:szCs w:val="24"/>
                <w:highlight w:val="yellow"/>
              </w:rPr>
              <w:t>10-2500m</w:t>
            </w:r>
            <w:r>
              <w:rPr>
                <w:rFonts w:hint="eastAsia" w:ascii="Times New Roman" w:hAnsi="Times New Roman" w:eastAsia="宋体"/>
                <w:color w:val="auto"/>
                <w:sz w:val="17"/>
                <w:szCs w:val="24"/>
                <w:highlight w:val="yellow"/>
              </w:rPr>
              <w:t>3/</w:t>
            </w:r>
            <w:r>
              <w:rPr>
                <w:rFonts w:hint="eastAsia" w:ascii="Times New Roman" w:hAnsi="Times New Roman" w:eastAsia="宋体"/>
                <w:color w:val="auto"/>
                <w:sz w:val="24"/>
                <w:szCs w:val="24"/>
                <w:highlight w:val="yellow"/>
              </w:rPr>
              <w:t>/h。</w:t>
            </w:r>
            <w:r>
              <w:rPr>
                <w:rFonts w:hint="eastAsia" w:ascii="Times New Roman" w:hAnsi="Times New Roman" w:eastAsia="宋体"/>
                <w:color w:val="auto"/>
                <w:sz w:val="24"/>
                <w:szCs w:val="24"/>
              </w:rPr>
              <w:t>一用一备。安装要求：水平安装，前直管段＞</w:t>
            </w:r>
            <w:r>
              <w:rPr>
                <w:rFonts w:hint="eastAsia"/>
                <w:color w:val="auto"/>
                <w:sz w:val="24"/>
                <w:szCs w:val="24"/>
                <w:lang w:val="en-US" w:eastAsia="zh-CN"/>
              </w:rPr>
              <w:t>5</w:t>
            </w:r>
            <w:r>
              <w:rPr>
                <w:rFonts w:hint="eastAsia" w:ascii="Times New Roman" w:hAnsi="Times New Roman" w:eastAsia="宋体"/>
                <w:color w:val="auto"/>
                <w:sz w:val="24"/>
                <w:szCs w:val="24"/>
              </w:rPr>
              <w:t>D,后直管段＞5D，配过滤器、物联网控制器；调压前计量</w:t>
            </w:r>
          </w:p>
        </w:tc>
        <w:tc>
          <w:tcPr>
            <w:tcW w:w="2766" w:type="dxa"/>
            <w:vAlign w:val="center"/>
          </w:tcPr>
          <w:p w14:paraId="0D6C0090">
            <w:pPr>
              <w:spacing w:beforeLines="0" w:afterLines="0"/>
              <w:jc w:val="left"/>
              <w:rPr>
                <w:rFonts w:hint="eastAsia" w:ascii="Times New Roman" w:hAnsi="Times New Roman" w:eastAsia="宋体"/>
                <w:color w:val="auto"/>
                <w:sz w:val="24"/>
                <w:szCs w:val="24"/>
              </w:rPr>
            </w:pPr>
            <w:r>
              <w:rPr>
                <w:rFonts w:hint="eastAsia" w:ascii="Times New Roman" w:hAnsi="Times New Roman" w:eastAsia="宋体"/>
                <w:color w:val="auto"/>
                <w:sz w:val="24"/>
                <w:szCs w:val="24"/>
              </w:rPr>
              <w:t>安装要求以流量计厂家为准</w:t>
            </w:r>
          </w:p>
          <w:p w14:paraId="13BBD717">
            <w:pPr>
              <w:spacing w:line="360" w:lineRule="auto"/>
              <w:jc w:val="center"/>
              <w:outlineLvl w:val="0"/>
              <w:rPr>
                <w:rFonts w:ascii="Times New Roman" w:hAnsi="Times New Roman" w:eastAsia="宋体"/>
                <w:bCs/>
                <w:color w:val="auto"/>
                <w:szCs w:val="21"/>
                <w:highlight w:val="none"/>
                <w:shd w:val="clear" w:color="auto" w:fill="FFFFFF"/>
              </w:rPr>
            </w:pPr>
          </w:p>
        </w:tc>
      </w:tr>
    </w:tbl>
    <w:p w14:paraId="4CB724E2">
      <w:pPr>
        <w:spacing w:line="360" w:lineRule="auto"/>
        <w:ind w:firstLine="480"/>
        <w:outlineLvl w:val="0"/>
        <w:rPr>
          <w:rFonts w:ascii="Times New Roman" w:hAnsi="Times New Roman" w:eastAsia="宋体"/>
          <w:bCs/>
          <w:sz w:val="24"/>
          <w:highlight w:val="none"/>
          <w:shd w:val="clear" w:color="auto" w:fill="FFFFFF"/>
        </w:rPr>
      </w:pPr>
    </w:p>
    <w:p w14:paraId="64A82374">
      <w:pPr>
        <w:spacing w:line="360" w:lineRule="auto"/>
        <w:outlineLvl w:val="0"/>
        <w:rPr>
          <w:rFonts w:ascii="Times New Roman" w:hAnsi="Times New Roman" w:eastAsia="宋体"/>
          <w:b/>
          <w:bCs/>
          <w:sz w:val="24"/>
          <w:highlight w:val="none"/>
          <w:shd w:val="clear" w:color="auto" w:fill="FFFFFF"/>
        </w:rPr>
      </w:pPr>
      <w:r>
        <w:rPr>
          <w:rFonts w:hint="eastAsia" w:ascii="Times New Roman" w:hAnsi="Times New Roman" w:eastAsia="宋体"/>
          <w:b/>
          <w:bCs/>
          <w:sz w:val="24"/>
          <w:highlight w:val="none"/>
          <w:shd w:val="clear" w:color="auto" w:fill="FFFFFF"/>
          <w:lang w:val="en-US" w:eastAsia="zh-CN"/>
        </w:rPr>
        <w:t>3</w:t>
      </w:r>
      <w:r>
        <w:rPr>
          <w:rFonts w:hint="eastAsia" w:ascii="Times New Roman" w:hAnsi="Times New Roman" w:eastAsia="宋体"/>
          <w:b/>
          <w:bCs/>
          <w:sz w:val="24"/>
          <w:highlight w:val="none"/>
          <w:shd w:val="clear" w:color="auto" w:fill="FFFFFF"/>
        </w:rPr>
        <w:t>、调压器</w:t>
      </w:r>
    </w:p>
    <w:p w14:paraId="58667D0E">
      <w:pPr>
        <w:tabs>
          <w:tab w:val="left" w:pos="1200"/>
        </w:tabs>
        <w:snapToGrid w:val="0"/>
        <w:spacing w:line="360" w:lineRule="auto"/>
        <w:ind w:firstLine="460" w:firstLineChars="192"/>
        <w:jc w:val="left"/>
        <w:rPr>
          <w:rFonts w:ascii="Calibri" w:hAnsi="Calibri"/>
          <w:color w:val="000000"/>
          <w:sz w:val="24"/>
          <w:szCs w:val="21"/>
          <w:highlight w:val="none"/>
          <w:u w:val="single"/>
        </w:rPr>
      </w:pPr>
      <w:r>
        <w:rPr>
          <w:rFonts w:hint="eastAsia" w:ascii="Calibri" w:hAnsi="Calibri"/>
          <w:color w:val="000000"/>
          <w:sz w:val="24"/>
          <w:szCs w:val="21"/>
          <w:highlight w:val="none"/>
          <w:u w:val="single"/>
        </w:rPr>
        <w:t>本项目调压设施正常供气路按照1用1备的方式设置，单路设计规模</w:t>
      </w:r>
      <w:r>
        <w:rPr>
          <w:rFonts w:hint="eastAsia" w:ascii="Calibri" w:hAnsi="Calibri"/>
          <w:color w:val="000000"/>
          <w:sz w:val="24"/>
          <w:szCs w:val="21"/>
          <w:highlight w:val="none"/>
          <w:u w:val="single"/>
          <w:lang w:val="en-US" w:eastAsia="zh-CN"/>
        </w:rPr>
        <w:t>4000</w:t>
      </w:r>
      <w:r>
        <w:rPr>
          <w:rFonts w:hint="eastAsia" w:ascii="Calibri" w:hAnsi="Calibri"/>
          <w:color w:val="000000"/>
          <w:sz w:val="24"/>
          <w:szCs w:val="21"/>
          <w:highlight w:val="none"/>
          <w:u w:val="single"/>
        </w:rPr>
        <w:t>N</w:t>
      </w:r>
      <w:r>
        <w:rPr>
          <w:rFonts w:ascii="Calibri" w:hAnsi="Calibri"/>
          <w:color w:val="000000"/>
          <w:sz w:val="24"/>
          <w:szCs w:val="21"/>
          <w:highlight w:val="none"/>
          <w:u w:val="single"/>
        </w:rPr>
        <w:t>m</w:t>
      </w:r>
      <w:r>
        <w:rPr>
          <w:rFonts w:ascii="Calibri" w:hAnsi="Calibri"/>
          <w:color w:val="000000"/>
          <w:sz w:val="24"/>
          <w:szCs w:val="21"/>
          <w:highlight w:val="none"/>
          <w:u w:val="single"/>
          <w:vertAlign w:val="superscript"/>
        </w:rPr>
        <w:t>3</w:t>
      </w:r>
      <w:r>
        <w:rPr>
          <w:rFonts w:ascii="Calibri" w:hAnsi="Calibri"/>
          <w:color w:val="000000"/>
          <w:sz w:val="24"/>
          <w:szCs w:val="21"/>
          <w:highlight w:val="none"/>
          <w:u w:val="single"/>
        </w:rPr>
        <w:t>/h</w:t>
      </w:r>
      <w:r>
        <w:rPr>
          <w:rFonts w:hint="eastAsia" w:ascii="Calibri" w:hAnsi="Calibri"/>
          <w:color w:val="000000"/>
          <w:sz w:val="24"/>
          <w:szCs w:val="21"/>
          <w:highlight w:val="none"/>
          <w:u w:val="single"/>
        </w:rPr>
        <w:t>；每路的结构形式均为</w:t>
      </w:r>
      <w:r>
        <w:rPr>
          <w:rFonts w:hint="eastAsia"/>
          <w:sz w:val="24"/>
          <w:highlight w:val="none"/>
          <w:u w:val="single"/>
        </w:rPr>
        <w:t>安全</w:t>
      </w:r>
      <w:r>
        <w:rPr>
          <w:rFonts w:hint="eastAsia" w:ascii="Calibri" w:hAnsi="Calibri"/>
          <w:color w:val="000000"/>
          <w:sz w:val="24"/>
          <w:szCs w:val="21"/>
          <w:highlight w:val="none"/>
          <w:u w:val="single"/>
        </w:rPr>
        <w:t>切断阀+工作调压阀。其主要参数如下：</w:t>
      </w:r>
    </w:p>
    <w:p w14:paraId="4D43AB33">
      <w:pPr>
        <w:tabs>
          <w:tab w:val="left" w:pos="1200"/>
        </w:tabs>
        <w:snapToGrid w:val="0"/>
        <w:spacing w:line="360" w:lineRule="auto"/>
        <w:ind w:firstLine="403" w:firstLineChars="192"/>
        <w:jc w:val="center"/>
        <w:rPr>
          <w:rFonts w:ascii="Calibri" w:hAnsi="Calibri"/>
          <w:color w:val="000000"/>
          <w:szCs w:val="21"/>
          <w:highlight w:val="none"/>
          <w:u w:val="single"/>
        </w:rPr>
      </w:pPr>
      <w:r>
        <w:rPr>
          <w:rFonts w:hint="eastAsia" w:ascii="Calibri" w:hAnsi="Calibri"/>
          <w:color w:val="000000"/>
          <w:szCs w:val="21"/>
          <w:highlight w:val="none"/>
          <w:u w:val="single"/>
        </w:rPr>
        <w:t>工作调压阀主要参数</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3751"/>
        <w:gridCol w:w="1984"/>
      </w:tblGrid>
      <w:tr w14:paraId="05F1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01B3397D">
            <w:pPr>
              <w:spacing w:line="360" w:lineRule="auto"/>
              <w:jc w:val="center"/>
              <w:outlineLvl w:val="0"/>
              <w:rPr>
                <w:b/>
                <w:bCs/>
                <w:szCs w:val="21"/>
                <w:highlight w:val="none"/>
                <w:shd w:val="clear" w:color="auto" w:fill="FFFFFF"/>
              </w:rPr>
            </w:pPr>
            <w:r>
              <w:rPr>
                <w:rFonts w:hint="eastAsia"/>
                <w:b/>
                <w:bCs/>
                <w:szCs w:val="21"/>
                <w:highlight w:val="none"/>
                <w:shd w:val="clear" w:color="auto" w:fill="FFFFFF"/>
              </w:rPr>
              <w:t>项目</w:t>
            </w:r>
          </w:p>
        </w:tc>
        <w:tc>
          <w:tcPr>
            <w:tcW w:w="3751" w:type="dxa"/>
            <w:vAlign w:val="center"/>
          </w:tcPr>
          <w:p w14:paraId="7ACE74CE">
            <w:pPr>
              <w:spacing w:line="360" w:lineRule="auto"/>
              <w:jc w:val="center"/>
              <w:outlineLvl w:val="0"/>
              <w:rPr>
                <w:b/>
                <w:bCs/>
                <w:szCs w:val="21"/>
                <w:highlight w:val="none"/>
                <w:shd w:val="clear" w:color="auto" w:fill="FFFFFF"/>
              </w:rPr>
            </w:pPr>
            <w:r>
              <w:rPr>
                <w:rFonts w:hint="eastAsia"/>
                <w:b/>
                <w:bCs/>
                <w:szCs w:val="21"/>
                <w:highlight w:val="none"/>
                <w:shd w:val="clear" w:color="auto" w:fill="FFFFFF"/>
              </w:rPr>
              <w:t>参数要求</w:t>
            </w:r>
          </w:p>
        </w:tc>
        <w:tc>
          <w:tcPr>
            <w:tcW w:w="1984" w:type="dxa"/>
            <w:vAlign w:val="center"/>
          </w:tcPr>
          <w:p w14:paraId="10CF98F6">
            <w:pPr>
              <w:spacing w:line="360" w:lineRule="auto"/>
              <w:jc w:val="center"/>
              <w:outlineLvl w:val="0"/>
              <w:rPr>
                <w:b/>
                <w:bCs/>
                <w:szCs w:val="21"/>
                <w:highlight w:val="none"/>
                <w:shd w:val="clear" w:color="auto" w:fill="FFFFFF"/>
              </w:rPr>
            </w:pPr>
            <w:r>
              <w:rPr>
                <w:rFonts w:hint="eastAsia"/>
                <w:b/>
                <w:bCs/>
                <w:szCs w:val="21"/>
                <w:highlight w:val="none"/>
                <w:shd w:val="clear" w:color="auto" w:fill="FFFFFF"/>
              </w:rPr>
              <w:t>备注</w:t>
            </w:r>
          </w:p>
        </w:tc>
      </w:tr>
      <w:tr w14:paraId="48DB5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32256FBC">
            <w:pPr>
              <w:spacing w:line="360" w:lineRule="auto"/>
              <w:jc w:val="center"/>
              <w:outlineLvl w:val="0"/>
              <w:rPr>
                <w:bCs/>
                <w:szCs w:val="21"/>
                <w:highlight w:val="none"/>
                <w:shd w:val="clear" w:color="auto" w:fill="FFFFFF"/>
              </w:rPr>
            </w:pPr>
            <w:r>
              <w:rPr>
                <w:rFonts w:hint="eastAsia"/>
                <w:bCs/>
                <w:szCs w:val="21"/>
                <w:highlight w:val="none"/>
                <w:shd w:val="clear" w:color="auto" w:fill="FFFFFF"/>
              </w:rPr>
              <w:t>主供气路调压器规模</w:t>
            </w:r>
          </w:p>
        </w:tc>
        <w:tc>
          <w:tcPr>
            <w:tcW w:w="3751" w:type="dxa"/>
            <w:vAlign w:val="center"/>
          </w:tcPr>
          <w:p w14:paraId="62BA62F2">
            <w:pPr>
              <w:spacing w:line="360" w:lineRule="auto"/>
              <w:jc w:val="center"/>
              <w:outlineLvl w:val="0"/>
              <w:rPr>
                <w:rFonts w:ascii="Calibri" w:hAnsi="Calibri"/>
                <w:color w:val="000000"/>
                <w:szCs w:val="21"/>
                <w:highlight w:val="none"/>
                <w:u w:val="single"/>
              </w:rPr>
            </w:pPr>
            <w:r>
              <w:rPr>
                <w:rFonts w:hint="eastAsia" w:ascii="Calibri" w:hAnsi="Calibri"/>
                <w:color w:val="000000"/>
                <w:szCs w:val="21"/>
                <w:highlight w:val="none"/>
                <w:u w:val="single"/>
                <w:lang w:val="en-US" w:eastAsia="zh-CN"/>
              </w:rPr>
              <w:t>4000</w:t>
            </w:r>
            <w:r>
              <w:rPr>
                <w:rFonts w:hint="eastAsia" w:ascii="Calibri" w:hAnsi="Calibri"/>
                <w:color w:val="000000"/>
                <w:szCs w:val="21"/>
                <w:highlight w:val="none"/>
                <w:u w:val="single"/>
              </w:rPr>
              <w:t>N</w:t>
            </w:r>
            <w:r>
              <w:rPr>
                <w:rFonts w:ascii="Calibri" w:hAnsi="Calibri"/>
                <w:color w:val="000000"/>
                <w:szCs w:val="21"/>
                <w:highlight w:val="none"/>
                <w:u w:val="single"/>
              </w:rPr>
              <w:t>m3/h</w:t>
            </w:r>
          </w:p>
        </w:tc>
        <w:tc>
          <w:tcPr>
            <w:tcW w:w="1984" w:type="dxa"/>
            <w:vAlign w:val="center"/>
          </w:tcPr>
          <w:p w14:paraId="56C00231">
            <w:pPr>
              <w:spacing w:line="360" w:lineRule="auto"/>
              <w:jc w:val="center"/>
              <w:outlineLvl w:val="0"/>
              <w:rPr>
                <w:bCs/>
                <w:szCs w:val="21"/>
                <w:highlight w:val="none"/>
                <w:shd w:val="clear" w:color="auto" w:fill="FFFFFF"/>
              </w:rPr>
            </w:pPr>
            <w:r>
              <w:rPr>
                <w:rFonts w:hint="eastAsia"/>
                <w:bCs/>
                <w:szCs w:val="21"/>
                <w:highlight w:val="none"/>
                <w:shd w:val="clear" w:color="auto" w:fill="FFFFFF"/>
              </w:rPr>
              <w:t>2路，一开一备</w:t>
            </w:r>
          </w:p>
        </w:tc>
      </w:tr>
      <w:tr w14:paraId="7D1B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583CD47D">
            <w:pPr>
              <w:spacing w:line="360" w:lineRule="auto"/>
              <w:jc w:val="center"/>
              <w:outlineLvl w:val="0"/>
              <w:rPr>
                <w:bCs/>
                <w:szCs w:val="21"/>
                <w:highlight w:val="none"/>
                <w:shd w:val="clear" w:color="auto" w:fill="FFFFFF"/>
              </w:rPr>
            </w:pPr>
            <w:r>
              <w:rPr>
                <w:rFonts w:hint="eastAsia"/>
                <w:bCs/>
                <w:szCs w:val="21"/>
                <w:highlight w:val="none"/>
                <w:shd w:val="clear" w:color="auto" w:fill="FFFFFF"/>
              </w:rPr>
              <w:t>一级调压前管道工作压力</w:t>
            </w:r>
          </w:p>
        </w:tc>
        <w:tc>
          <w:tcPr>
            <w:tcW w:w="3751" w:type="dxa"/>
            <w:vAlign w:val="center"/>
          </w:tcPr>
          <w:p w14:paraId="678E3102">
            <w:pPr>
              <w:spacing w:line="360" w:lineRule="auto"/>
              <w:jc w:val="center"/>
              <w:outlineLvl w:val="0"/>
              <w:rPr>
                <w:rFonts w:ascii="Calibri" w:hAnsi="Calibri"/>
                <w:color w:val="000000"/>
                <w:szCs w:val="21"/>
                <w:highlight w:val="none"/>
                <w:u w:val="single"/>
              </w:rPr>
            </w:pPr>
            <w:r>
              <w:rPr>
                <w:rFonts w:hint="eastAsia" w:ascii="Calibri" w:hAnsi="Calibri"/>
                <w:color w:val="000000"/>
                <w:szCs w:val="21"/>
                <w:highlight w:val="none"/>
                <w:u w:val="single"/>
                <w:lang w:val="en-US" w:eastAsia="zh-CN"/>
              </w:rPr>
              <w:t>0.8</w:t>
            </w:r>
            <w:r>
              <w:rPr>
                <w:rFonts w:hint="eastAsia" w:ascii="Calibri" w:hAnsi="Calibri"/>
                <w:color w:val="000000"/>
                <w:szCs w:val="21"/>
                <w:highlight w:val="none"/>
                <w:u w:val="single"/>
              </w:rPr>
              <w:t>~</w:t>
            </w:r>
            <w:r>
              <w:rPr>
                <w:rFonts w:hint="eastAsia" w:ascii="Calibri" w:hAnsi="Calibri"/>
                <w:color w:val="000000"/>
                <w:szCs w:val="21"/>
                <w:highlight w:val="none"/>
                <w:u w:val="single"/>
                <w:lang w:val="en-US" w:eastAsia="zh-CN"/>
              </w:rPr>
              <w:t>1.4</w:t>
            </w:r>
            <w:r>
              <w:rPr>
                <w:rFonts w:hint="eastAsia" w:ascii="Calibri" w:hAnsi="Calibri"/>
                <w:color w:val="000000"/>
                <w:szCs w:val="21"/>
                <w:highlight w:val="none"/>
                <w:u w:val="single"/>
              </w:rPr>
              <w:t>MPa</w:t>
            </w:r>
          </w:p>
        </w:tc>
        <w:tc>
          <w:tcPr>
            <w:tcW w:w="1984" w:type="dxa"/>
            <w:vAlign w:val="center"/>
          </w:tcPr>
          <w:p w14:paraId="650138D5">
            <w:pPr>
              <w:spacing w:line="360" w:lineRule="auto"/>
              <w:jc w:val="center"/>
              <w:outlineLvl w:val="0"/>
              <w:rPr>
                <w:bCs/>
                <w:szCs w:val="21"/>
                <w:highlight w:val="none"/>
                <w:shd w:val="clear" w:color="auto" w:fill="FFFFFF"/>
              </w:rPr>
            </w:pPr>
          </w:p>
        </w:tc>
      </w:tr>
      <w:tr w14:paraId="626F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4F6DD90C">
            <w:pPr>
              <w:spacing w:line="360" w:lineRule="auto"/>
              <w:jc w:val="center"/>
              <w:outlineLvl w:val="0"/>
              <w:rPr>
                <w:bCs/>
                <w:szCs w:val="21"/>
                <w:highlight w:val="none"/>
                <w:shd w:val="clear" w:color="auto" w:fill="FFFFFF"/>
              </w:rPr>
            </w:pPr>
            <w:r>
              <w:rPr>
                <w:rFonts w:hint="eastAsia"/>
                <w:bCs/>
                <w:szCs w:val="21"/>
                <w:highlight w:val="none"/>
                <w:shd w:val="clear" w:color="auto" w:fill="FFFFFF"/>
              </w:rPr>
              <w:t>一级调压后管道工作压力</w:t>
            </w:r>
          </w:p>
        </w:tc>
        <w:tc>
          <w:tcPr>
            <w:tcW w:w="3751" w:type="dxa"/>
            <w:vAlign w:val="center"/>
          </w:tcPr>
          <w:p w14:paraId="4B1BC7C0">
            <w:pPr>
              <w:spacing w:line="360" w:lineRule="auto"/>
              <w:jc w:val="center"/>
              <w:outlineLvl w:val="0"/>
              <w:rPr>
                <w:rFonts w:ascii="Calibri" w:hAnsi="Calibri"/>
                <w:color w:val="000000"/>
                <w:szCs w:val="21"/>
                <w:highlight w:val="none"/>
                <w:u w:val="single"/>
              </w:rPr>
            </w:pPr>
            <w:r>
              <w:rPr>
                <w:rFonts w:hint="eastAsia" w:ascii="Calibri" w:hAnsi="Calibri"/>
                <w:color w:val="000000"/>
                <w:szCs w:val="21"/>
                <w:highlight w:val="none"/>
                <w:u w:val="single"/>
                <w:lang w:val="en-US" w:eastAsia="zh-CN"/>
              </w:rPr>
              <w:t>0.3</w:t>
            </w:r>
            <w:r>
              <w:rPr>
                <w:rFonts w:hint="eastAsia" w:ascii="Calibri" w:hAnsi="Calibri"/>
                <w:color w:val="000000"/>
                <w:szCs w:val="21"/>
                <w:highlight w:val="none"/>
                <w:u w:val="single"/>
              </w:rPr>
              <w:t>~</w:t>
            </w:r>
            <w:r>
              <w:rPr>
                <w:rFonts w:hint="eastAsia" w:ascii="Calibri" w:hAnsi="Calibri"/>
                <w:color w:val="000000"/>
                <w:szCs w:val="21"/>
                <w:highlight w:val="none"/>
                <w:u w:val="single"/>
                <w:lang w:val="en-US" w:eastAsia="zh-CN"/>
              </w:rPr>
              <w:t>0.36</w:t>
            </w:r>
            <w:r>
              <w:rPr>
                <w:rFonts w:hint="eastAsia" w:ascii="Calibri" w:hAnsi="Calibri"/>
                <w:color w:val="000000"/>
                <w:szCs w:val="21"/>
                <w:highlight w:val="none"/>
                <w:u w:val="single"/>
              </w:rPr>
              <w:t>MPa</w:t>
            </w:r>
          </w:p>
        </w:tc>
        <w:tc>
          <w:tcPr>
            <w:tcW w:w="1984" w:type="dxa"/>
            <w:vAlign w:val="center"/>
          </w:tcPr>
          <w:p w14:paraId="38ABD4AC">
            <w:pPr>
              <w:spacing w:line="360" w:lineRule="auto"/>
              <w:jc w:val="center"/>
              <w:outlineLvl w:val="0"/>
              <w:rPr>
                <w:bCs/>
                <w:szCs w:val="21"/>
                <w:highlight w:val="none"/>
                <w:shd w:val="clear" w:color="auto" w:fill="FFFFFF"/>
              </w:rPr>
            </w:pPr>
          </w:p>
        </w:tc>
      </w:tr>
      <w:tr w14:paraId="5AFE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205098D0">
            <w:pPr>
              <w:spacing w:line="360" w:lineRule="auto"/>
              <w:jc w:val="center"/>
              <w:outlineLvl w:val="0"/>
              <w:rPr>
                <w:bCs/>
                <w:szCs w:val="21"/>
                <w:highlight w:val="none"/>
                <w:shd w:val="clear" w:color="auto" w:fill="FFFFFF"/>
              </w:rPr>
            </w:pPr>
            <w:r>
              <w:rPr>
                <w:rFonts w:hint="eastAsia"/>
                <w:bCs/>
                <w:szCs w:val="21"/>
                <w:highlight w:val="none"/>
                <w:shd w:val="clear" w:color="auto" w:fill="FFFFFF"/>
              </w:rPr>
              <w:t>二级调压后管道工作压力</w:t>
            </w:r>
          </w:p>
        </w:tc>
        <w:tc>
          <w:tcPr>
            <w:tcW w:w="3751" w:type="dxa"/>
            <w:vAlign w:val="center"/>
          </w:tcPr>
          <w:p w14:paraId="560AEE8E">
            <w:pPr>
              <w:spacing w:line="360" w:lineRule="auto"/>
              <w:jc w:val="center"/>
              <w:outlineLvl w:val="0"/>
              <w:rPr>
                <w:rFonts w:ascii="Calibri" w:hAnsi="Calibri"/>
                <w:color w:val="000000"/>
                <w:szCs w:val="21"/>
                <w:highlight w:val="none"/>
                <w:u w:val="single"/>
              </w:rPr>
            </w:pPr>
            <w:r>
              <w:rPr>
                <w:rFonts w:ascii="Calibri" w:hAnsi="Calibri"/>
                <w:color w:val="000000"/>
                <w:szCs w:val="21"/>
                <w:highlight w:val="none"/>
                <w:u w:val="single"/>
              </w:rPr>
              <w:t>0.</w:t>
            </w:r>
            <w:r>
              <w:rPr>
                <w:rFonts w:hint="eastAsia" w:ascii="Calibri" w:hAnsi="Calibri"/>
                <w:color w:val="000000"/>
                <w:szCs w:val="21"/>
                <w:highlight w:val="none"/>
                <w:u w:val="single"/>
                <w:lang w:val="en-US" w:eastAsia="zh-CN"/>
              </w:rPr>
              <w:t>05</w:t>
            </w:r>
            <w:r>
              <w:rPr>
                <w:rFonts w:hint="eastAsia" w:ascii="Calibri" w:hAnsi="Calibri"/>
                <w:color w:val="000000"/>
                <w:szCs w:val="21"/>
                <w:highlight w:val="none"/>
                <w:u w:val="single"/>
              </w:rPr>
              <w:t>MPa</w:t>
            </w:r>
          </w:p>
        </w:tc>
        <w:tc>
          <w:tcPr>
            <w:tcW w:w="1984" w:type="dxa"/>
            <w:vAlign w:val="center"/>
          </w:tcPr>
          <w:p w14:paraId="11EEA025">
            <w:pPr>
              <w:spacing w:line="360" w:lineRule="auto"/>
              <w:jc w:val="center"/>
              <w:outlineLvl w:val="0"/>
              <w:rPr>
                <w:bCs/>
                <w:szCs w:val="21"/>
                <w:highlight w:val="none"/>
                <w:shd w:val="clear" w:color="auto" w:fill="FFFFFF"/>
              </w:rPr>
            </w:pPr>
          </w:p>
        </w:tc>
      </w:tr>
      <w:tr w14:paraId="5878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206639AD">
            <w:pPr>
              <w:spacing w:line="360" w:lineRule="auto"/>
              <w:jc w:val="center"/>
              <w:outlineLvl w:val="0"/>
              <w:rPr>
                <w:bCs/>
                <w:szCs w:val="21"/>
                <w:highlight w:val="none"/>
                <w:shd w:val="clear" w:color="auto" w:fill="FFFFFF"/>
              </w:rPr>
            </w:pPr>
            <w:r>
              <w:rPr>
                <w:rFonts w:hint="eastAsia"/>
                <w:bCs/>
                <w:szCs w:val="21"/>
                <w:highlight w:val="none"/>
                <w:shd w:val="clear" w:color="auto" w:fill="FFFFFF"/>
              </w:rPr>
              <w:t>调压器稳压精度</w:t>
            </w:r>
          </w:p>
        </w:tc>
        <w:tc>
          <w:tcPr>
            <w:tcW w:w="3751" w:type="dxa"/>
            <w:vAlign w:val="center"/>
          </w:tcPr>
          <w:p w14:paraId="096C78A3">
            <w:pPr>
              <w:spacing w:line="360" w:lineRule="auto"/>
              <w:jc w:val="center"/>
              <w:outlineLvl w:val="0"/>
              <w:rPr>
                <w:rFonts w:ascii="Calibri" w:hAnsi="Calibri"/>
                <w:color w:val="000000"/>
                <w:szCs w:val="21"/>
                <w:highlight w:val="none"/>
                <w:u w:val="single"/>
              </w:rPr>
            </w:pPr>
            <w:r>
              <w:rPr>
                <w:rFonts w:hint="eastAsia" w:ascii="Calibri" w:hAnsi="Calibri"/>
                <w:color w:val="000000"/>
                <w:szCs w:val="21"/>
                <w:highlight w:val="none"/>
                <w:u w:val="single"/>
              </w:rPr>
              <w:t>AC</w:t>
            </w:r>
            <w:r>
              <w:rPr>
                <w:rFonts w:ascii="Calibri" w:hAnsi="Calibri"/>
                <w:color w:val="000000"/>
                <w:szCs w:val="21"/>
                <w:highlight w:val="none"/>
                <w:u w:val="single"/>
              </w:rPr>
              <w:t>5</w:t>
            </w:r>
          </w:p>
        </w:tc>
        <w:tc>
          <w:tcPr>
            <w:tcW w:w="1984" w:type="dxa"/>
            <w:vAlign w:val="center"/>
          </w:tcPr>
          <w:p w14:paraId="7C03AAD2">
            <w:pPr>
              <w:spacing w:line="360" w:lineRule="auto"/>
              <w:jc w:val="center"/>
              <w:outlineLvl w:val="0"/>
              <w:rPr>
                <w:bCs/>
                <w:szCs w:val="21"/>
                <w:highlight w:val="none"/>
                <w:shd w:val="clear" w:color="auto" w:fill="FFFFFF"/>
              </w:rPr>
            </w:pPr>
          </w:p>
        </w:tc>
      </w:tr>
      <w:tr w14:paraId="0A6C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25A0FB82">
            <w:pPr>
              <w:spacing w:line="360" w:lineRule="auto"/>
              <w:jc w:val="center"/>
              <w:outlineLvl w:val="0"/>
              <w:rPr>
                <w:bCs/>
                <w:szCs w:val="21"/>
                <w:highlight w:val="none"/>
                <w:shd w:val="clear" w:color="auto" w:fill="FFFFFF"/>
              </w:rPr>
            </w:pPr>
            <w:r>
              <w:rPr>
                <w:rFonts w:hint="eastAsia"/>
                <w:bCs/>
                <w:szCs w:val="21"/>
                <w:highlight w:val="none"/>
                <w:shd w:val="clear" w:color="auto" w:fill="FFFFFF"/>
              </w:rPr>
              <w:t>关闭压力等级</w:t>
            </w:r>
          </w:p>
        </w:tc>
        <w:tc>
          <w:tcPr>
            <w:tcW w:w="3751" w:type="dxa"/>
            <w:vAlign w:val="center"/>
          </w:tcPr>
          <w:p w14:paraId="791D5233">
            <w:pPr>
              <w:spacing w:line="360" w:lineRule="auto"/>
              <w:jc w:val="center"/>
              <w:outlineLvl w:val="0"/>
              <w:rPr>
                <w:bCs/>
                <w:szCs w:val="21"/>
                <w:highlight w:val="none"/>
                <w:shd w:val="clear" w:color="auto" w:fill="FFFFFF"/>
              </w:rPr>
            </w:pPr>
            <w:r>
              <w:rPr>
                <w:rFonts w:hint="eastAsia"/>
                <w:bCs/>
                <w:szCs w:val="21"/>
                <w:highlight w:val="none"/>
                <w:shd w:val="clear" w:color="auto" w:fill="FFFFFF"/>
              </w:rPr>
              <w:t>SG</w:t>
            </w:r>
            <w:r>
              <w:rPr>
                <w:bCs/>
                <w:szCs w:val="21"/>
                <w:highlight w:val="none"/>
                <w:shd w:val="clear" w:color="auto" w:fill="FFFFFF"/>
              </w:rPr>
              <w:t>5</w:t>
            </w:r>
          </w:p>
        </w:tc>
        <w:tc>
          <w:tcPr>
            <w:tcW w:w="1984" w:type="dxa"/>
            <w:vAlign w:val="center"/>
          </w:tcPr>
          <w:p w14:paraId="6EE49559">
            <w:pPr>
              <w:spacing w:line="360" w:lineRule="auto"/>
              <w:jc w:val="center"/>
              <w:outlineLvl w:val="0"/>
              <w:rPr>
                <w:bCs/>
                <w:szCs w:val="21"/>
                <w:highlight w:val="none"/>
                <w:shd w:val="clear" w:color="auto" w:fill="FFFFFF"/>
              </w:rPr>
            </w:pPr>
          </w:p>
        </w:tc>
      </w:tr>
      <w:tr w14:paraId="209E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290D7FCE">
            <w:pPr>
              <w:spacing w:line="360" w:lineRule="auto"/>
              <w:jc w:val="center"/>
              <w:outlineLvl w:val="0"/>
              <w:rPr>
                <w:bCs/>
                <w:szCs w:val="21"/>
                <w:highlight w:val="none"/>
                <w:shd w:val="clear" w:color="auto" w:fill="FFFFFF"/>
              </w:rPr>
            </w:pPr>
            <w:r>
              <w:rPr>
                <w:rFonts w:hint="eastAsia"/>
                <w:bCs/>
                <w:szCs w:val="21"/>
                <w:highlight w:val="none"/>
                <w:shd w:val="clear" w:color="auto" w:fill="FFFFFF"/>
              </w:rPr>
              <w:t>调压器运行时噪声</w:t>
            </w:r>
          </w:p>
        </w:tc>
        <w:tc>
          <w:tcPr>
            <w:tcW w:w="3751" w:type="dxa"/>
            <w:vAlign w:val="center"/>
          </w:tcPr>
          <w:p w14:paraId="72A1A2CA">
            <w:pPr>
              <w:spacing w:line="360" w:lineRule="auto"/>
              <w:jc w:val="center"/>
              <w:outlineLvl w:val="0"/>
              <w:rPr>
                <w:bCs/>
                <w:szCs w:val="21"/>
                <w:highlight w:val="none"/>
                <w:shd w:val="clear" w:color="auto" w:fill="FFFFFF"/>
              </w:rPr>
            </w:pPr>
            <w:r>
              <w:rPr>
                <w:rFonts w:hint="eastAsia"/>
                <w:bCs/>
                <w:szCs w:val="21"/>
                <w:highlight w:val="none"/>
                <w:shd w:val="clear" w:color="auto" w:fill="FFFFFF"/>
              </w:rPr>
              <w:t>不大于8</w:t>
            </w:r>
            <w:r>
              <w:rPr>
                <w:bCs/>
                <w:szCs w:val="21"/>
                <w:highlight w:val="none"/>
                <w:shd w:val="clear" w:color="auto" w:fill="FFFFFF"/>
              </w:rPr>
              <w:t>5</w:t>
            </w:r>
            <w:r>
              <w:rPr>
                <w:rFonts w:hint="eastAsia"/>
                <w:bCs/>
                <w:szCs w:val="21"/>
                <w:highlight w:val="none"/>
                <w:shd w:val="clear" w:color="auto" w:fill="FFFFFF"/>
              </w:rPr>
              <w:t>d</w:t>
            </w:r>
            <w:r>
              <w:rPr>
                <w:bCs/>
                <w:szCs w:val="21"/>
                <w:highlight w:val="none"/>
                <w:shd w:val="clear" w:color="auto" w:fill="FFFFFF"/>
              </w:rPr>
              <w:t>B</w:t>
            </w:r>
            <w:r>
              <w:rPr>
                <w:rFonts w:hint="eastAsia"/>
                <w:bCs/>
                <w:szCs w:val="21"/>
                <w:highlight w:val="none"/>
                <w:shd w:val="clear" w:color="auto" w:fill="FFFFFF"/>
              </w:rPr>
              <w:t>（1米位置）</w:t>
            </w:r>
          </w:p>
        </w:tc>
        <w:tc>
          <w:tcPr>
            <w:tcW w:w="1984" w:type="dxa"/>
            <w:vAlign w:val="center"/>
          </w:tcPr>
          <w:p w14:paraId="32F1C187">
            <w:pPr>
              <w:spacing w:line="360" w:lineRule="auto"/>
              <w:jc w:val="center"/>
              <w:outlineLvl w:val="0"/>
              <w:rPr>
                <w:bCs/>
                <w:szCs w:val="21"/>
                <w:highlight w:val="none"/>
                <w:shd w:val="clear" w:color="auto" w:fill="FFFFFF"/>
              </w:rPr>
            </w:pPr>
          </w:p>
        </w:tc>
      </w:tr>
      <w:tr w14:paraId="6308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621779ED">
            <w:pPr>
              <w:spacing w:line="360" w:lineRule="auto"/>
              <w:jc w:val="center"/>
              <w:outlineLvl w:val="0"/>
              <w:rPr>
                <w:b/>
                <w:bCs/>
                <w:szCs w:val="21"/>
                <w:highlight w:val="none"/>
                <w:shd w:val="clear" w:color="auto" w:fill="FFFFFF"/>
              </w:rPr>
            </w:pPr>
            <w:r>
              <w:rPr>
                <w:rFonts w:hint="eastAsia"/>
                <w:b/>
                <w:bCs/>
                <w:szCs w:val="21"/>
                <w:highlight w:val="none"/>
                <w:shd w:val="clear" w:color="auto" w:fill="FFFFFF"/>
              </w:rPr>
              <w:t>使用温度</w:t>
            </w:r>
          </w:p>
        </w:tc>
        <w:tc>
          <w:tcPr>
            <w:tcW w:w="3751" w:type="dxa"/>
            <w:vAlign w:val="center"/>
          </w:tcPr>
          <w:p w14:paraId="2C659143">
            <w:pPr>
              <w:spacing w:line="360" w:lineRule="auto"/>
              <w:jc w:val="center"/>
              <w:outlineLvl w:val="0"/>
              <w:rPr>
                <w:b/>
                <w:bCs/>
                <w:szCs w:val="21"/>
                <w:highlight w:val="none"/>
                <w:shd w:val="clear" w:color="auto" w:fill="FFFFFF"/>
              </w:rPr>
            </w:pPr>
            <w:r>
              <w:rPr>
                <w:rFonts w:hint="eastAsia"/>
                <w:b/>
                <w:highlight w:val="none"/>
              </w:rPr>
              <w:t>-</w:t>
            </w:r>
            <w:r>
              <w:rPr>
                <w:rFonts w:hint="eastAsia"/>
                <w:b/>
                <w:highlight w:val="none"/>
                <w:lang w:val="en-US" w:eastAsia="zh-CN"/>
              </w:rPr>
              <w:t>3</w:t>
            </w:r>
            <w:r>
              <w:rPr>
                <w:rFonts w:hint="eastAsia"/>
                <w:b/>
                <w:highlight w:val="none"/>
              </w:rPr>
              <w:t>9/50℃</w:t>
            </w:r>
          </w:p>
        </w:tc>
        <w:tc>
          <w:tcPr>
            <w:tcW w:w="1984" w:type="dxa"/>
            <w:vAlign w:val="center"/>
          </w:tcPr>
          <w:p w14:paraId="38C8A244">
            <w:pPr>
              <w:spacing w:line="360" w:lineRule="auto"/>
              <w:jc w:val="center"/>
              <w:outlineLvl w:val="0"/>
              <w:rPr>
                <w:b/>
                <w:bCs/>
                <w:szCs w:val="21"/>
                <w:highlight w:val="none"/>
                <w:shd w:val="clear" w:color="auto" w:fill="FFFFFF"/>
              </w:rPr>
            </w:pPr>
            <w:r>
              <w:rPr>
                <w:b/>
                <w:bCs/>
                <w:szCs w:val="21"/>
                <w:highlight w:val="none"/>
                <w:shd w:val="clear" w:color="auto" w:fill="FFFFFF"/>
              </w:rPr>
              <w:t>确保该工况下能正常使用</w:t>
            </w:r>
          </w:p>
        </w:tc>
      </w:tr>
      <w:tr w14:paraId="49BF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53E3948C">
            <w:pPr>
              <w:spacing w:line="360" w:lineRule="auto"/>
              <w:jc w:val="center"/>
              <w:outlineLvl w:val="0"/>
              <w:rPr>
                <w:b/>
                <w:bCs/>
                <w:szCs w:val="21"/>
                <w:highlight w:val="none"/>
                <w:shd w:val="clear" w:color="auto" w:fill="FFFFFF"/>
              </w:rPr>
            </w:pPr>
            <w:r>
              <w:rPr>
                <w:b/>
                <w:bCs/>
                <w:szCs w:val="21"/>
                <w:highlight w:val="none"/>
                <w:shd w:val="clear" w:color="auto" w:fill="FFFFFF"/>
              </w:rPr>
              <w:t>出口法兰流速限制（m/s）</w:t>
            </w:r>
          </w:p>
        </w:tc>
        <w:tc>
          <w:tcPr>
            <w:tcW w:w="3751" w:type="dxa"/>
          </w:tcPr>
          <w:p w14:paraId="735B8A37">
            <w:pPr>
              <w:spacing w:line="360" w:lineRule="auto"/>
              <w:jc w:val="center"/>
              <w:outlineLvl w:val="0"/>
              <w:rPr>
                <w:b/>
                <w:highlight w:val="none"/>
              </w:rPr>
            </w:pPr>
            <w:r>
              <w:rPr>
                <w:b/>
                <w:highlight w:val="none"/>
              </w:rPr>
              <w:t>130</w:t>
            </w:r>
          </w:p>
        </w:tc>
        <w:tc>
          <w:tcPr>
            <w:tcW w:w="1984" w:type="dxa"/>
            <w:vAlign w:val="center"/>
          </w:tcPr>
          <w:p w14:paraId="6A1B5BB2">
            <w:pPr>
              <w:spacing w:line="360" w:lineRule="auto"/>
              <w:jc w:val="center"/>
              <w:outlineLvl w:val="0"/>
              <w:rPr>
                <w:b/>
                <w:bCs/>
                <w:szCs w:val="21"/>
                <w:highlight w:val="none"/>
                <w:shd w:val="clear" w:color="auto" w:fill="FFFFFF"/>
              </w:rPr>
            </w:pPr>
          </w:p>
        </w:tc>
      </w:tr>
      <w:tr w14:paraId="3528C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01D6C11F">
            <w:pPr>
              <w:spacing w:line="360" w:lineRule="auto"/>
              <w:jc w:val="center"/>
              <w:outlineLvl w:val="0"/>
              <w:rPr>
                <w:b/>
                <w:bCs/>
                <w:szCs w:val="21"/>
                <w:highlight w:val="none"/>
                <w:shd w:val="clear" w:color="auto" w:fill="FFFFFF"/>
              </w:rPr>
            </w:pPr>
            <w:r>
              <w:rPr>
                <w:b/>
                <w:bCs/>
                <w:szCs w:val="21"/>
                <w:highlight w:val="none"/>
                <w:shd w:val="clear" w:color="auto" w:fill="FFFFFF"/>
              </w:rPr>
              <w:t>常规地区壳体材料</w:t>
            </w:r>
          </w:p>
        </w:tc>
        <w:tc>
          <w:tcPr>
            <w:tcW w:w="3751" w:type="dxa"/>
          </w:tcPr>
          <w:p w14:paraId="438C0E28">
            <w:pPr>
              <w:spacing w:line="360" w:lineRule="auto"/>
              <w:jc w:val="center"/>
              <w:outlineLvl w:val="0"/>
              <w:rPr>
                <w:b/>
                <w:highlight w:val="none"/>
              </w:rPr>
            </w:pPr>
            <w:r>
              <w:rPr>
                <w:b/>
                <w:highlight w:val="none"/>
              </w:rPr>
              <w:t>铸件WCB或LCB</w:t>
            </w:r>
          </w:p>
          <w:p w14:paraId="7A1270BA">
            <w:pPr>
              <w:spacing w:line="360" w:lineRule="auto"/>
              <w:jc w:val="center"/>
              <w:outlineLvl w:val="0"/>
              <w:rPr>
                <w:b/>
                <w:highlight w:val="none"/>
              </w:rPr>
            </w:pPr>
            <w:r>
              <w:rPr>
                <w:b/>
                <w:highlight w:val="none"/>
              </w:rPr>
              <w:t>锻件 A105</w:t>
            </w:r>
          </w:p>
        </w:tc>
        <w:tc>
          <w:tcPr>
            <w:tcW w:w="1984" w:type="dxa"/>
            <w:vAlign w:val="center"/>
          </w:tcPr>
          <w:p w14:paraId="444E8876">
            <w:pPr>
              <w:spacing w:line="360" w:lineRule="auto"/>
              <w:jc w:val="center"/>
              <w:outlineLvl w:val="0"/>
              <w:rPr>
                <w:b/>
                <w:bCs/>
                <w:szCs w:val="21"/>
                <w:highlight w:val="none"/>
                <w:shd w:val="clear" w:color="auto" w:fill="FFFFFF"/>
              </w:rPr>
            </w:pPr>
          </w:p>
        </w:tc>
      </w:tr>
      <w:tr w14:paraId="0E30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6E8EE0DA">
            <w:pPr>
              <w:spacing w:line="360" w:lineRule="auto"/>
              <w:jc w:val="center"/>
              <w:outlineLvl w:val="0"/>
              <w:rPr>
                <w:bCs/>
                <w:szCs w:val="21"/>
                <w:highlight w:val="none"/>
                <w:shd w:val="clear" w:color="auto" w:fill="FFFFFF"/>
              </w:rPr>
            </w:pPr>
            <w:r>
              <w:rPr>
                <w:rFonts w:hint="eastAsia"/>
                <w:bCs/>
                <w:szCs w:val="21"/>
                <w:highlight w:val="none"/>
                <w:shd w:val="clear" w:color="auto" w:fill="FFFFFF"/>
              </w:rPr>
              <w:t>其他要求</w:t>
            </w:r>
          </w:p>
        </w:tc>
        <w:tc>
          <w:tcPr>
            <w:tcW w:w="3751" w:type="dxa"/>
            <w:vAlign w:val="center"/>
          </w:tcPr>
          <w:p w14:paraId="0F37A5C4">
            <w:pPr>
              <w:spacing w:line="360" w:lineRule="auto"/>
              <w:jc w:val="center"/>
              <w:outlineLvl w:val="0"/>
              <w:rPr>
                <w:bCs/>
                <w:szCs w:val="21"/>
                <w:highlight w:val="none"/>
                <w:shd w:val="clear" w:color="auto" w:fill="FFFFFF"/>
              </w:rPr>
            </w:pPr>
            <w:r>
              <w:rPr>
                <w:rFonts w:hint="eastAsia" w:ascii="Calibri" w:hAnsi="Calibri"/>
                <w:color w:val="000000"/>
                <w:szCs w:val="21"/>
                <w:highlight w:val="none"/>
                <w:u w:val="single"/>
              </w:rPr>
              <w:t>1、</w:t>
            </w:r>
            <w:r>
              <w:rPr>
                <w:rFonts w:ascii="Calibri" w:hAnsi="Calibri"/>
                <w:color w:val="000000"/>
                <w:szCs w:val="21"/>
                <w:highlight w:val="none"/>
                <w:u w:val="single"/>
              </w:rPr>
              <w:t>调压器</w:t>
            </w:r>
            <w:r>
              <w:rPr>
                <w:rFonts w:hint="eastAsia" w:ascii="Calibri" w:hAnsi="Calibri"/>
                <w:color w:val="000000"/>
                <w:szCs w:val="21"/>
                <w:highlight w:val="none"/>
                <w:u w:val="single"/>
              </w:rPr>
              <w:t>取压信号管和调压后管道处需采取电伴热保温措施；2、调压器带开度阀位反馈功能。</w:t>
            </w:r>
          </w:p>
        </w:tc>
        <w:tc>
          <w:tcPr>
            <w:tcW w:w="1984" w:type="dxa"/>
            <w:vAlign w:val="center"/>
          </w:tcPr>
          <w:p w14:paraId="367ADA9F">
            <w:pPr>
              <w:spacing w:line="360" w:lineRule="auto"/>
              <w:jc w:val="center"/>
              <w:outlineLvl w:val="0"/>
              <w:rPr>
                <w:bCs/>
                <w:szCs w:val="21"/>
                <w:highlight w:val="none"/>
                <w:shd w:val="clear" w:color="auto" w:fill="FFFFFF"/>
              </w:rPr>
            </w:pPr>
            <w:r>
              <w:rPr>
                <w:rFonts w:hint="eastAsia"/>
                <w:bCs/>
                <w:szCs w:val="21"/>
                <w:highlight w:val="none"/>
                <w:shd w:val="clear" w:color="auto" w:fill="FFFFFF"/>
              </w:rPr>
              <w:t>配套取压管、仪表设置</w:t>
            </w:r>
          </w:p>
        </w:tc>
      </w:tr>
    </w:tbl>
    <w:p w14:paraId="45FE7846">
      <w:pPr>
        <w:pStyle w:val="22"/>
        <w:rPr>
          <w:sz w:val="24"/>
          <w:highlight w:val="none"/>
          <w:u w:val="single"/>
        </w:rPr>
      </w:pPr>
      <w:r>
        <w:rPr>
          <w:rFonts w:hint="eastAsia"/>
          <w:sz w:val="24"/>
          <w:highlight w:val="none"/>
          <w:u w:val="single"/>
        </w:rPr>
        <w:t>注：</w:t>
      </w:r>
      <w:r>
        <w:rPr>
          <w:rFonts w:hint="eastAsia" w:ascii="Calibri" w:hAnsi="Calibri"/>
          <w:color w:val="000000"/>
          <w:szCs w:val="21"/>
          <w:highlight w:val="none"/>
          <w:u w:val="single"/>
        </w:rPr>
        <w:t>1、</w:t>
      </w:r>
      <w:r>
        <w:rPr>
          <w:rFonts w:hint="eastAsia"/>
          <w:sz w:val="24"/>
          <w:highlight w:val="none"/>
          <w:u w:val="single"/>
        </w:rPr>
        <w:t>调压器采购时应按设计流量的</w:t>
      </w:r>
      <w:r>
        <w:rPr>
          <w:sz w:val="24"/>
          <w:highlight w:val="none"/>
          <w:u w:val="single"/>
        </w:rPr>
        <w:t>1.2</w:t>
      </w:r>
      <w:r>
        <w:rPr>
          <w:rFonts w:hint="eastAsia"/>
          <w:sz w:val="24"/>
          <w:highlight w:val="none"/>
          <w:u w:val="single"/>
        </w:rPr>
        <w:t>倍选型；2、极寒地区的调压器选型时应注明环境温度，同时明确保温措施。3、极寒地区壳体材料：</w:t>
      </w:r>
      <w:r>
        <w:rPr>
          <w:sz w:val="24"/>
          <w:highlight w:val="none"/>
          <w:u w:val="single"/>
        </w:rPr>
        <w:t>铸件LCB</w:t>
      </w:r>
      <w:r>
        <w:rPr>
          <w:rFonts w:hint="eastAsia"/>
          <w:sz w:val="24"/>
          <w:highlight w:val="none"/>
          <w:u w:val="single"/>
        </w:rPr>
        <w:t>、</w:t>
      </w:r>
      <w:r>
        <w:rPr>
          <w:sz w:val="24"/>
          <w:highlight w:val="none"/>
          <w:u w:val="single"/>
        </w:rPr>
        <w:t>锻件LF2</w:t>
      </w:r>
    </w:p>
    <w:p w14:paraId="1125907B">
      <w:pPr>
        <w:tabs>
          <w:tab w:val="left" w:pos="1200"/>
        </w:tabs>
        <w:snapToGrid w:val="0"/>
        <w:spacing w:line="360" w:lineRule="auto"/>
        <w:ind w:firstLine="403" w:firstLineChars="192"/>
        <w:jc w:val="left"/>
        <w:rPr>
          <w:rFonts w:ascii="Calibri" w:hAnsi="Calibri"/>
          <w:color w:val="000000"/>
          <w:szCs w:val="21"/>
          <w:highlight w:val="none"/>
          <w:u w:val="single"/>
        </w:rPr>
      </w:pPr>
    </w:p>
    <w:p w14:paraId="1611523D">
      <w:pPr>
        <w:tabs>
          <w:tab w:val="left" w:pos="1200"/>
        </w:tabs>
        <w:snapToGrid w:val="0"/>
        <w:spacing w:line="360" w:lineRule="auto"/>
        <w:ind w:firstLine="403" w:firstLineChars="192"/>
        <w:jc w:val="center"/>
        <w:rPr>
          <w:rFonts w:hint="eastAsia" w:ascii="Calibri" w:hAnsi="Calibri"/>
          <w:color w:val="000000"/>
          <w:szCs w:val="21"/>
          <w:highlight w:val="none"/>
          <w:u w:val="single"/>
        </w:rPr>
      </w:pPr>
    </w:p>
    <w:p w14:paraId="3E20A020">
      <w:pPr>
        <w:tabs>
          <w:tab w:val="left" w:pos="1200"/>
        </w:tabs>
        <w:snapToGrid w:val="0"/>
        <w:spacing w:line="360" w:lineRule="auto"/>
        <w:ind w:firstLine="403" w:firstLineChars="192"/>
        <w:jc w:val="center"/>
        <w:rPr>
          <w:rFonts w:ascii="Calibri" w:hAnsi="Calibri"/>
          <w:color w:val="000000"/>
          <w:szCs w:val="21"/>
          <w:highlight w:val="none"/>
          <w:u w:val="single"/>
        </w:rPr>
      </w:pPr>
      <w:r>
        <w:rPr>
          <w:rFonts w:hint="eastAsia" w:ascii="Calibri" w:hAnsi="Calibri"/>
          <w:color w:val="000000"/>
          <w:szCs w:val="21"/>
          <w:highlight w:val="none"/>
          <w:u w:val="single"/>
        </w:rPr>
        <w:t>安全切断阀主要参数</w:t>
      </w:r>
    </w:p>
    <w:tbl>
      <w:tblPr>
        <w:tblStyle w:val="15"/>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3751"/>
        <w:gridCol w:w="2126"/>
      </w:tblGrid>
      <w:tr w14:paraId="5CF4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71DCBC74">
            <w:pPr>
              <w:spacing w:line="360" w:lineRule="auto"/>
              <w:jc w:val="center"/>
              <w:outlineLvl w:val="0"/>
              <w:rPr>
                <w:b/>
                <w:bCs/>
                <w:szCs w:val="21"/>
                <w:highlight w:val="none"/>
                <w:shd w:val="clear" w:color="auto" w:fill="FFFFFF"/>
              </w:rPr>
            </w:pPr>
            <w:r>
              <w:rPr>
                <w:rFonts w:hint="eastAsia"/>
                <w:b/>
                <w:bCs/>
                <w:szCs w:val="21"/>
                <w:highlight w:val="none"/>
                <w:shd w:val="clear" w:color="auto" w:fill="FFFFFF"/>
              </w:rPr>
              <w:t>项目</w:t>
            </w:r>
          </w:p>
        </w:tc>
        <w:tc>
          <w:tcPr>
            <w:tcW w:w="3751" w:type="dxa"/>
            <w:vAlign w:val="center"/>
          </w:tcPr>
          <w:p w14:paraId="53CBB598">
            <w:pPr>
              <w:spacing w:line="360" w:lineRule="auto"/>
              <w:jc w:val="center"/>
              <w:outlineLvl w:val="0"/>
              <w:rPr>
                <w:b/>
                <w:bCs/>
                <w:szCs w:val="21"/>
                <w:highlight w:val="none"/>
                <w:shd w:val="clear" w:color="auto" w:fill="FFFFFF"/>
              </w:rPr>
            </w:pPr>
            <w:r>
              <w:rPr>
                <w:rFonts w:hint="eastAsia"/>
                <w:b/>
                <w:bCs/>
                <w:szCs w:val="21"/>
                <w:highlight w:val="none"/>
                <w:shd w:val="clear" w:color="auto" w:fill="FFFFFF"/>
              </w:rPr>
              <w:t>参数要求</w:t>
            </w:r>
          </w:p>
        </w:tc>
        <w:tc>
          <w:tcPr>
            <w:tcW w:w="2126" w:type="dxa"/>
            <w:vAlign w:val="center"/>
          </w:tcPr>
          <w:p w14:paraId="08099F80">
            <w:pPr>
              <w:spacing w:line="360" w:lineRule="auto"/>
              <w:jc w:val="center"/>
              <w:outlineLvl w:val="0"/>
              <w:rPr>
                <w:b/>
                <w:bCs/>
                <w:szCs w:val="21"/>
                <w:highlight w:val="none"/>
                <w:shd w:val="clear" w:color="auto" w:fill="FFFFFF"/>
              </w:rPr>
            </w:pPr>
            <w:r>
              <w:rPr>
                <w:rFonts w:hint="eastAsia"/>
                <w:b/>
                <w:bCs/>
                <w:szCs w:val="21"/>
                <w:highlight w:val="none"/>
                <w:shd w:val="clear" w:color="auto" w:fill="FFFFFF"/>
              </w:rPr>
              <w:t>备注</w:t>
            </w:r>
          </w:p>
        </w:tc>
      </w:tr>
      <w:tr w14:paraId="26DF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4F7660A6">
            <w:pPr>
              <w:spacing w:line="360" w:lineRule="auto"/>
              <w:jc w:val="center"/>
              <w:outlineLvl w:val="0"/>
              <w:rPr>
                <w:bCs/>
                <w:szCs w:val="21"/>
                <w:highlight w:val="none"/>
                <w:shd w:val="clear" w:color="auto" w:fill="FFFFFF"/>
              </w:rPr>
            </w:pPr>
            <w:r>
              <w:rPr>
                <w:rFonts w:hint="eastAsia"/>
                <w:bCs/>
                <w:szCs w:val="21"/>
                <w:highlight w:val="none"/>
                <w:shd w:val="clear" w:color="auto" w:fill="FFFFFF"/>
              </w:rPr>
              <w:t>主供气路安全切断阀规模</w:t>
            </w:r>
          </w:p>
        </w:tc>
        <w:tc>
          <w:tcPr>
            <w:tcW w:w="3751" w:type="dxa"/>
            <w:vAlign w:val="center"/>
          </w:tcPr>
          <w:p w14:paraId="1DCABB15">
            <w:pPr>
              <w:spacing w:line="360" w:lineRule="auto"/>
              <w:jc w:val="center"/>
              <w:outlineLvl w:val="0"/>
              <w:rPr>
                <w:rFonts w:ascii="Calibri" w:hAnsi="Calibri"/>
                <w:color w:val="000000"/>
                <w:szCs w:val="21"/>
                <w:highlight w:val="none"/>
                <w:u w:val="single"/>
              </w:rPr>
            </w:pPr>
            <w:r>
              <w:rPr>
                <w:rFonts w:hint="eastAsia" w:ascii="Calibri" w:hAnsi="Calibri"/>
                <w:color w:val="000000"/>
                <w:szCs w:val="21"/>
                <w:highlight w:val="none"/>
                <w:u w:val="single"/>
                <w:lang w:val="en-US" w:eastAsia="zh-CN"/>
              </w:rPr>
              <w:t>3300</w:t>
            </w:r>
            <w:r>
              <w:rPr>
                <w:rFonts w:hint="eastAsia" w:ascii="Calibri" w:hAnsi="Calibri"/>
                <w:color w:val="000000"/>
                <w:szCs w:val="21"/>
                <w:highlight w:val="none"/>
                <w:u w:val="single"/>
              </w:rPr>
              <w:t>N</w:t>
            </w:r>
            <w:r>
              <w:rPr>
                <w:rFonts w:ascii="Calibri" w:hAnsi="Calibri"/>
                <w:color w:val="000000"/>
                <w:szCs w:val="21"/>
                <w:highlight w:val="none"/>
                <w:u w:val="single"/>
              </w:rPr>
              <w:t>m3/h</w:t>
            </w:r>
          </w:p>
        </w:tc>
        <w:tc>
          <w:tcPr>
            <w:tcW w:w="2126" w:type="dxa"/>
            <w:vAlign w:val="center"/>
          </w:tcPr>
          <w:p w14:paraId="163EC109">
            <w:pPr>
              <w:spacing w:line="360" w:lineRule="auto"/>
              <w:jc w:val="center"/>
              <w:outlineLvl w:val="0"/>
              <w:rPr>
                <w:bCs/>
                <w:szCs w:val="21"/>
                <w:highlight w:val="none"/>
                <w:shd w:val="clear" w:color="auto" w:fill="FFFFFF"/>
              </w:rPr>
            </w:pPr>
            <w:r>
              <w:rPr>
                <w:rFonts w:hint="eastAsia"/>
                <w:bCs/>
                <w:szCs w:val="21"/>
                <w:highlight w:val="none"/>
                <w:shd w:val="clear" w:color="auto" w:fill="FFFFFF"/>
              </w:rPr>
              <w:t>2路，与调压器配套</w:t>
            </w:r>
          </w:p>
        </w:tc>
      </w:tr>
      <w:tr w14:paraId="1DB7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137E7579">
            <w:pPr>
              <w:spacing w:line="360" w:lineRule="auto"/>
              <w:jc w:val="center"/>
              <w:outlineLvl w:val="0"/>
              <w:rPr>
                <w:bCs/>
                <w:szCs w:val="21"/>
                <w:highlight w:val="none"/>
                <w:shd w:val="clear" w:color="auto" w:fill="FFFFFF"/>
              </w:rPr>
            </w:pPr>
            <w:r>
              <w:rPr>
                <w:rFonts w:hint="eastAsia"/>
                <w:bCs/>
                <w:szCs w:val="21"/>
                <w:highlight w:val="none"/>
                <w:shd w:val="clear" w:color="auto" w:fill="FFFFFF"/>
              </w:rPr>
              <w:t>一级安全切断阀工作压力</w:t>
            </w:r>
          </w:p>
        </w:tc>
        <w:tc>
          <w:tcPr>
            <w:tcW w:w="3751" w:type="dxa"/>
            <w:vAlign w:val="center"/>
          </w:tcPr>
          <w:p w14:paraId="30010C80">
            <w:pPr>
              <w:spacing w:line="360" w:lineRule="auto"/>
              <w:jc w:val="center"/>
              <w:outlineLvl w:val="0"/>
              <w:rPr>
                <w:rFonts w:ascii="Calibri" w:hAnsi="Calibri"/>
                <w:color w:val="000000"/>
                <w:szCs w:val="21"/>
                <w:highlight w:val="none"/>
                <w:u w:val="single"/>
              </w:rPr>
            </w:pPr>
            <w:r>
              <w:rPr>
                <w:rFonts w:hint="eastAsia" w:ascii="Calibri" w:hAnsi="Calibri"/>
                <w:color w:val="000000"/>
                <w:szCs w:val="21"/>
                <w:highlight w:val="none"/>
                <w:u w:val="single"/>
                <w:lang w:val="en-US" w:eastAsia="zh-CN"/>
              </w:rPr>
              <w:t>0.8</w:t>
            </w:r>
            <w:r>
              <w:rPr>
                <w:rFonts w:hint="eastAsia" w:ascii="Calibri" w:hAnsi="Calibri"/>
                <w:color w:val="000000"/>
                <w:szCs w:val="21"/>
                <w:highlight w:val="none"/>
                <w:u w:val="single"/>
              </w:rPr>
              <w:t>~</w:t>
            </w:r>
            <w:r>
              <w:rPr>
                <w:rFonts w:hint="eastAsia" w:ascii="Calibri" w:hAnsi="Calibri"/>
                <w:color w:val="000000"/>
                <w:szCs w:val="21"/>
                <w:highlight w:val="none"/>
                <w:u w:val="single"/>
                <w:lang w:val="en-US" w:eastAsia="zh-CN"/>
              </w:rPr>
              <w:t>1.4</w:t>
            </w:r>
            <w:r>
              <w:rPr>
                <w:rFonts w:hint="eastAsia" w:ascii="Calibri" w:hAnsi="Calibri"/>
                <w:color w:val="000000"/>
                <w:szCs w:val="21"/>
                <w:highlight w:val="none"/>
                <w:u w:val="single"/>
              </w:rPr>
              <w:t>MPa</w:t>
            </w:r>
          </w:p>
        </w:tc>
        <w:tc>
          <w:tcPr>
            <w:tcW w:w="2126" w:type="dxa"/>
            <w:vAlign w:val="center"/>
          </w:tcPr>
          <w:p w14:paraId="4E2456F7">
            <w:pPr>
              <w:spacing w:line="360" w:lineRule="auto"/>
              <w:jc w:val="center"/>
              <w:outlineLvl w:val="0"/>
              <w:rPr>
                <w:bCs/>
                <w:szCs w:val="21"/>
                <w:highlight w:val="none"/>
                <w:shd w:val="clear" w:color="auto" w:fill="FFFFFF"/>
              </w:rPr>
            </w:pPr>
          </w:p>
        </w:tc>
      </w:tr>
      <w:tr w14:paraId="07F3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51477587">
            <w:pPr>
              <w:spacing w:line="360" w:lineRule="auto"/>
              <w:jc w:val="center"/>
              <w:outlineLvl w:val="0"/>
              <w:rPr>
                <w:bCs/>
                <w:szCs w:val="21"/>
                <w:highlight w:val="none"/>
                <w:shd w:val="clear" w:color="auto" w:fill="FFFFFF"/>
              </w:rPr>
            </w:pPr>
            <w:r>
              <w:rPr>
                <w:rFonts w:hint="eastAsia"/>
                <w:bCs/>
                <w:szCs w:val="21"/>
                <w:highlight w:val="none"/>
                <w:shd w:val="clear" w:color="auto" w:fill="FFFFFF"/>
              </w:rPr>
              <w:t>二级安全切断阀工作压力</w:t>
            </w:r>
          </w:p>
        </w:tc>
        <w:tc>
          <w:tcPr>
            <w:tcW w:w="3751" w:type="dxa"/>
            <w:vAlign w:val="center"/>
          </w:tcPr>
          <w:p w14:paraId="11B72989">
            <w:pPr>
              <w:spacing w:line="360" w:lineRule="auto"/>
              <w:jc w:val="center"/>
              <w:outlineLvl w:val="0"/>
              <w:rPr>
                <w:rFonts w:ascii="Calibri" w:hAnsi="Calibri"/>
                <w:color w:val="000000"/>
                <w:szCs w:val="21"/>
                <w:highlight w:val="none"/>
                <w:u w:val="single"/>
              </w:rPr>
            </w:pPr>
            <w:r>
              <w:rPr>
                <w:rFonts w:hint="eastAsia" w:ascii="Calibri" w:hAnsi="Calibri"/>
                <w:color w:val="000000"/>
                <w:szCs w:val="21"/>
                <w:highlight w:val="none"/>
                <w:u w:val="single"/>
                <w:lang w:val="en-US" w:eastAsia="zh-CN"/>
              </w:rPr>
              <w:t>0.3</w:t>
            </w:r>
            <w:r>
              <w:rPr>
                <w:rFonts w:hint="eastAsia" w:ascii="Calibri" w:hAnsi="Calibri"/>
                <w:color w:val="000000"/>
                <w:szCs w:val="21"/>
                <w:highlight w:val="none"/>
                <w:u w:val="single"/>
              </w:rPr>
              <w:t>~</w:t>
            </w:r>
            <w:r>
              <w:rPr>
                <w:rFonts w:hint="eastAsia" w:ascii="Calibri" w:hAnsi="Calibri"/>
                <w:color w:val="000000"/>
                <w:szCs w:val="21"/>
                <w:highlight w:val="none"/>
                <w:u w:val="single"/>
                <w:lang w:val="en-US" w:eastAsia="zh-CN"/>
              </w:rPr>
              <w:t>0.36</w:t>
            </w:r>
            <w:r>
              <w:rPr>
                <w:rFonts w:hint="eastAsia" w:ascii="Calibri" w:hAnsi="Calibri"/>
                <w:color w:val="000000"/>
                <w:szCs w:val="21"/>
                <w:highlight w:val="none"/>
                <w:u w:val="single"/>
              </w:rPr>
              <w:t>MPa</w:t>
            </w:r>
          </w:p>
        </w:tc>
        <w:tc>
          <w:tcPr>
            <w:tcW w:w="2126" w:type="dxa"/>
            <w:vAlign w:val="center"/>
          </w:tcPr>
          <w:p w14:paraId="2013DD90">
            <w:pPr>
              <w:spacing w:line="360" w:lineRule="auto"/>
              <w:jc w:val="center"/>
              <w:outlineLvl w:val="0"/>
              <w:rPr>
                <w:bCs/>
                <w:szCs w:val="21"/>
                <w:highlight w:val="none"/>
                <w:shd w:val="clear" w:color="auto" w:fill="FFFFFF"/>
              </w:rPr>
            </w:pPr>
          </w:p>
        </w:tc>
      </w:tr>
      <w:tr w14:paraId="7578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7FA47609">
            <w:pPr>
              <w:spacing w:line="360" w:lineRule="auto"/>
              <w:jc w:val="center"/>
              <w:outlineLvl w:val="0"/>
              <w:rPr>
                <w:bCs/>
                <w:szCs w:val="21"/>
                <w:highlight w:val="none"/>
                <w:shd w:val="clear" w:color="auto" w:fill="FFFFFF"/>
              </w:rPr>
            </w:pPr>
            <w:r>
              <w:rPr>
                <w:rFonts w:hint="eastAsia"/>
                <w:bCs/>
                <w:szCs w:val="21"/>
                <w:highlight w:val="none"/>
                <w:shd w:val="clear" w:color="auto" w:fill="FFFFFF"/>
              </w:rPr>
              <w:t>超压切断精度</w:t>
            </w:r>
          </w:p>
        </w:tc>
        <w:tc>
          <w:tcPr>
            <w:tcW w:w="3751" w:type="dxa"/>
            <w:vAlign w:val="center"/>
          </w:tcPr>
          <w:p w14:paraId="2E7D0276">
            <w:pPr>
              <w:spacing w:line="360" w:lineRule="auto"/>
              <w:jc w:val="center"/>
              <w:outlineLvl w:val="0"/>
              <w:rPr>
                <w:rFonts w:ascii="Calibri" w:hAnsi="Calibri"/>
                <w:color w:val="000000"/>
                <w:szCs w:val="21"/>
                <w:highlight w:val="none"/>
                <w:u w:val="single"/>
              </w:rPr>
            </w:pPr>
            <w:r>
              <w:rPr>
                <w:rFonts w:hint="eastAsia" w:ascii="Calibri" w:hAnsi="Calibri"/>
                <w:color w:val="000000"/>
                <w:szCs w:val="21"/>
                <w:highlight w:val="none"/>
                <w:u w:val="single"/>
              </w:rPr>
              <w:t>AQ1</w:t>
            </w:r>
          </w:p>
        </w:tc>
        <w:tc>
          <w:tcPr>
            <w:tcW w:w="2126" w:type="dxa"/>
            <w:vAlign w:val="center"/>
          </w:tcPr>
          <w:p w14:paraId="771837E1">
            <w:pPr>
              <w:spacing w:line="360" w:lineRule="auto"/>
              <w:jc w:val="center"/>
              <w:outlineLvl w:val="0"/>
              <w:rPr>
                <w:bCs/>
                <w:szCs w:val="21"/>
                <w:highlight w:val="none"/>
                <w:shd w:val="clear" w:color="auto" w:fill="FFFFFF"/>
              </w:rPr>
            </w:pPr>
          </w:p>
        </w:tc>
      </w:tr>
      <w:tr w14:paraId="2714B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211EFBB3">
            <w:pPr>
              <w:spacing w:line="360" w:lineRule="auto"/>
              <w:jc w:val="center"/>
              <w:outlineLvl w:val="0"/>
              <w:rPr>
                <w:bCs/>
                <w:szCs w:val="21"/>
                <w:highlight w:val="none"/>
                <w:shd w:val="clear" w:color="auto" w:fill="FFFFFF"/>
              </w:rPr>
            </w:pPr>
            <w:r>
              <w:rPr>
                <w:rFonts w:hint="eastAsia"/>
                <w:bCs/>
                <w:szCs w:val="21"/>
                <w:highlight w:val="none"/>
                <w:shd w:val="clear" w:color="auto" w:fill="FFFFFF"/>
              </w:rPr>
              <w:t>超压切断响应时间</w:t>
            </w:r>
          </w:p>
        </w:tc>
        <w:tc>
          <w:tcPr>
            <w:tcW w:w="3751" w:type="dxa"/>
            <w:vAlign w:val="center"/>
          </w:tcPr>
          <w:p w14:paraId="4F483693">
            <w:pPr>
              <w:spacing w:line="360" w:lineRule="auto"/>
              <w:jc w:val="center"/>
              <w:outlineLvl w:val="0"/>
              <w:rPr>
                <w:bCs/>
                <w:szCs w:val="21"/>
                <w:highlight w:val="none"/>
                <w:shd w:val="clear" w:color="auto" w:fill="FFFFFF"/>
              </w:rPr>
            </w:pPr>
            <w:r>
              <w:rPr>
                <w:rFonts w:hint="eastAsia"/>
                <w:bCs/>
                <w:szCs w:val="21"/>
                <w:highlight w:val="none"/>
                <w:shd w:val="clear" w:color="auto" w:fill="FFFFFF"/>
              </w:rPr>
              <w:t>≤1</w:t>
            </w:r>
            <w:r>
              <w:rPr>
                <w:bCs/>
                <w:szCs w:val="21"/>
                <w:highlight w:val="none"/>
                <w:shd w:val="clear" w:color="auto" w:fill="FFFFFF"/>
              </w:rPr>
              <w:t>S</w:t>
            </w:r>
          </w:p>
        </w:tc>
        <w:tc>
          <w:tcPr>
            <w:tcW w:w="2126" w:type="dxa"/>
            <w:vAlign w:val="center"/>
          </w:tcPr>
          <w:p w14:paraId="4ABCC47C">
            <w:pPr>
              <w:spacing w:line="360" w:lineRule="auto"/>
              <w:jc w:val="center"/>
              <w:outlineLvl w:val="0"/>
              <w:rPr>
                <w:bCs/>
                <w:szCs w:val="21"/>
                <w:highlight w:val="none"/>
                <w:shd w:val="clear" w:color="auto" w:fill="FFFFFF"/>
              </w:rPr>
            </w:pPr>
          </w:p>
        </w:tc>
      </w:tr>
      <w:tr w14:paraId="364A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47CBB1A3">
            <w:pPr>
              <w:spacing w:line="360" w:lineRule="auto"/>
              <w:jc w:val="center"/>
              <w:outlineLvl w:val="0"/>
              <w:rPr>
                <w:bCs/>
                <w:szCs w:val="21"/>
                <w:highlight w:val="none"/>
                <w:shd w:val="clear" w:color="auto" w:fill="FFFFFF"/>
              </w:rPr>
            </w:pPr>
            <w:r>
              <w:rPr>
                <w:rFonts w:hint="eastAsia"/>
                <w:bCs/>
                <w:szCs w:val="21"/>
                <w:highlight w:val="none"/>
                <w:shd w:val="clear" w:color="auto" w:fill="FFFFFF"/>
              </w:rPr>
              <w:t>超压切断阀控制方式</w:t>
            </w:r>
          </w:p>
        </w:tc>
        <w:tc>
          <w:tcPr>
            <w:tcW w:w="3751" w:type="dxa"/>
            <w:vAlign w:val="center"/>
          </w:tcPr>
          <w:p w14:paraId="3FE6DF36">
            <w:pPr>
              <w:spacing w:line="360" w:lineRule="auto"/>
              <w:jc w:val="center"/>
              <w:outlineLvl w:val="0"/>
              <w:rPr>
                <w:bCs/>
                <w:szCs w:val="21"/>
                <w:highlight w:val="none"/>
                <w:shd w:val="clear" w:color="auto" w:fill="FFFFFF"/>
              </w:rPr>
            </w:pPr>
            <w:r>
              <w:rPr>
                <w:rFonts w:hint="eastAsia"/>
                <w:bCs/>
                <w:szCs w:val="21"/>
                <w:highlight w:val="none"/>
                <w:shd w:val="clear" w:color="auto" w:fill="FFFFFF"/>
              </w:rPr>
              <w:t>自力式，人工复位</w:t>
            </w:r>
          </w:p>
        </w:tc>
        <w:tc>
          <w:tcPr>
            <w:tcW w:w="2126" w:type="dxa"/>
            <w:vAlign w:val="center"/>
          </w:tcPr>
          <w:p w14:paraId="2BBD1BA8">
            <w:pPr>
              <w:spacing w:line="360" w:lineRule="auto"/>
              <w:jc w:val="center"/>
              <w:outlineLvl w:val="0"/>
              <w:rPr>
                <w:bCs/>
                <w:szCs w:val="21"/>
                <w:highlight w:val="none"/>
                <w:shd w:val="clear" w:color="auto" w:fill="FFFFFF"/>
              </w:rPr>
            </w:pPr>
          </w:p>
        </w:tc>
      </w:tr>
      <w:tr w14:paraId="51D1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14:paraId="1E06427B">
            <w:pPr>
              <w:spacing w:line="360" w:lineRule="auto"/>
              <w:jc w:val="center"/>
              <w:outlineLvl w:val="0"/>
              <w:rPr>
                <w:bCs/>
                <w:szCs w:val="21"/>
                <w:highlight w:val="none"/>
                <w:shd w:val="clear" w:color="auto" w:fill="FFFFFF"/>
              </w:rPr>
            </w:pPr>
            <w:r>
              <w:rPr>
                <w:rFonts w:hint="eastAsia"/>
                <w:bCs/>
                <w:szCs w:val="21"/>
                <w:highlight w:val="none"/>
                <w:shd w:val="clear" w:color="auto" w:fill="FFFFFF"/>
              </w:rPr>
              <w:t>其他要求</w:t>
            </w:r>
          </w:p>
        </w:tc>
        <w:tc>
          <w:tcPr>
            <w:tcW w:w="3751" w:type="dxa"/>
            <w:vAlign w:val="center"/>
          </w:tcPr>
          <w:p w14:paraId="037252F3">
            <w:pPr>
              <w:spacing w:line="360" w:lineRule="auto"/>
              <w:jc w:val="center"/>
              <w:outlineLvl w:val="0"/>
              <w:rPr>
                <w:b/>
                <w:bCs/>
                <w:szCs w:val="21"/>
                <w:highlight w:val="none"/>
                <w:shd w:val="clear" w:color="auto" w:fill="FFFFFF"/>
              </w:rPr>
            </w:pPr>
            <w:r>
              <w:rPr>
                <w:rFonts w:hint="eastAsia"/>
                <w:bCs/>
                <w:szCs w:val="21"/>
                <w:highlight w:val="none"/>
                <w:shd w:val="clear" w:color="auto" w:fill="FFFFFF"/>
              </w:rPr>
              <w:t>配套取压管等设施</w:t>
            </w:r>
          </w:p>
        </w:tc>
        <w:tc>
          <w:tcPr>
            <w:tcW w:w="2126" w:type="dxa"/>
            <w:vAlign w:val="center"/>
          </w:tcPr>
          <w:p w14:paraId="37147640">
            <w:pPr>
              <w:spacing w:line="360" w:lineRule="auto"/>
              <w:jc w:val="center"/>
              <w:outlineLvl w:val="0"/>
              <w:rPr>
                <w:bCs/>
                <w:szCs w:val="21"/>
                <w:highlight w:val="none"/>
                <w:shd w:val="clear" w:color="auto" w:fill="FFFFFF"/>
              </w:rPr>
            </w:pPr>
          </w:p>
        </w:tc>
      </w:tr>
    </w:tbl>
    <w:p w14:paraId="058E61A6">
      <w:pPr>
        <w:spacing w:line="360" w:lineRule="auto"/>
        <w:ind w:firstLine="480"/>
        <w:outlineLvl w:val="0"/>
        <w:rPr>
          <w:bCs/>
          <w:sz w:val="24"/>
          <w:highlight w:val="none"/>
          <w:shd w:val="clear" w:color="auto" w:fill="FFFFFF"/>
        </w:rPr>
      </w:pPr>
    </w:p>
    <w:p w14:paraId="522B81BE">
      <w:pPr>
        <w:spacing w:line="360" w:lineRule="auto"/>
        <w:outlineLvl w:val="0"/>
        <w:rPr>
          <w:rFonts w:ascii="Times New Roman" w:hAnsi="Times New Roman" w:eastAsia="宋体"/>
          <w:b/>
          <w:bCs/>
          <w:sz w:val="24"/>
          <w:highlight w:val="none"/>
          <w:shd w:val="clear" w:color="auto" w:fill="FFFFFF"/>
        </w:rPr>
      </w:pPr>
      <w:r>
        <w:rPr>
          <w:rFonts w:hint="eastAsia"/>
          <w:b/>
          <w:bCs/>
          <w:sz w:val="24"/>
          <w:highlight w:val="none"/>
          <w:shd w:val="clear" w:color="auto" w:fill="FFFFFF"/>
          <w:lang w:val="en-US" w:eastAsia="zh-CN"/>
        </w:rPr>
        <w:t>4</w:t>
      </w:r>
      <w:r>
        <w:rPr>
          <w:rFonts w:hint="eastAsia" w:ascii="Times New Roman" w:hAnsi="Times New Roman" w:eastAsia="宋体"/>
          <w:b/>
          <w:bCs/>
          <w:sz w:val="24"/>
          <w:highlight w:val="none"/>
          <w:shd w:val="clear" w:color="auto" w:fill="FFFFFF"/>
        </w:rPr>
        <w:t>、法兰球阀</w:t>
      </w:r>
    </w:p>
    <w:p w14:paraId="151E7C47">
      <w:pPr>
        <w:tabs>
          <w:tab w:val="left" w:pos="851"/>
        </w:tabs>
        <w:spacing w:line="360" w:lineRule="auto"/>
        <w:ind w:firstLine="480" w:firstLineChars="200"/>
        <w:textAlignment w:val="baseline"/>
        <w:rPr>
          <w:rFonts w:ascii="Times New Roman" w:hAnsi="Times New Roman" w:eastAsia="宋体" w:cs="Arial"/>
          <w:snapToGrid w:val="0"/>
          <w:kern w:val="0"/>
          <w:sz w:val="24"/>
          <w:highlight w:val="none"/>
        </w:rPr>
      </w:pPr>
      <w:r>
        <w:rPr>
          <w:rFonts w:hint="eastAsia" w:ascii="Times New Roman" w:hAnsi="Times New Roman" w:eastAsia="宋体" w:cs="Arial"/>
          <w:snapToGrid w:val="0"/>
          <w:kern w:val="0"/>
          <w:sz w:val="24"/>
          <w:highlight w:val="none"/>
        </w:rPr>
        <w:t>（1）</w:t>
      </w:r>
      <w:r>
        <w:rPr>
          <w:rFonts w:hint="eastAsia" w:ascii="Times New Roman" w:hAnsi="Times New Roman" w:eastAsia="宋体"/>
          <w:sz w:val="24"/>
          <w:highlight w:val="none"/>
          <w:u w:val="single"/>
        </w:rPr>
        <w:t>法兰球阀制造标准应符合《石油、石化及相关工业用的钢制球阀》</w:t>
      </w:r>
      <w:r>
        <w:rPr>
          <w:rFonts w:ascii="Times New Roman" w:hAnsi="Times New Roman" w:eastAsia="宋体"/>
          <w:sz w:val="24"/>
          <w:highlight w:val="none"/>
          <w:u w:val="single"/>
        </w:rPr>
        <w:t>GB/T12237</w:t>
      </w:r>
      <w:r>
        <w:rPr>
          <w:rFonts w:hint="eastAsia" w:ascii="Times New Roman" w:hAnsi="Times New Roman" w:eastAsia="宋体"/>
          <w:sz w:val="24"/>
          <w:highlight w:val="none"/>
          <w:u w:val="single"/>
        </w:rPr>
        <w:t>-2021的相关规定。</w:t>
      </w:r>
    </w:p>
    <w:p w14:paraId="3403B026">
      <w:pPr>
        <w:tabs>
          <w:tab w:val="left" w:pos="851"/>
        </w:tabs>
        <w:spacing w:line="360" w:lineRule="auto"/>
        <w:ind w:firstLine="480" w:firstLineChars="200"/>
        <w:textAlignment w:val="baseline"/>
        <w:rPr>
          <w:rFonts w:ascii="Times New Roman" w:hAnsi="Times New Roman" w:eastAsia="宋体" w:cs="Arial"/>
          <w:snapToGrid w:val="0"/>
          <w:kern w:val="0"/>
          <w:sz w:val="24"/>
          <w:highlight w:val="none"/>
        </w:rPr>
      </w:pPr>
      <w:bookmarkStart w:id="0" w:name="_Hlk107305232"/>
      <w:r>
        <w:rPr>
          <w:rFonts w:hint="eastAsia" w:ascii="Times New Roman" w:hAnsi="Times New Roman" w:eastAsia="宋体" w:cs="Arial"/>
          <w:snapToGrid w:val="0"/>
          <w:kern w:val="0"/>
          <w:sz w:val="24"/>
          <w:highlight w:val="none"/>
        </w:rPr>
        <w:t>（2）</w:t>
      </w:r>
      <w:r>
        <w:rPr>
          <w:rFonts w:ascii="Times New Roman" w:hAnsi="Times New Roman" w:eastAsia="宋体" w:cs="Arial"/>
          <w:snapToGrid w:val="0"/>
          <w:kern w:val="0"/>
          <w:sz w:val="24"/>
          <w:highlight w:val="none"/>
        </w:rPr>
        <w:t>阀体连接形式应为法兰结构。</w:t>
      </w:r>
      <w:r>
        <w:rPr>
          <w:rFonts w:hint="eastAsia" w:ascii="Times New Roman" w:hAnsi="Times New Roman" w:eastAsia="宋体"/>
          <w:sz w:val="24"/>
          <w:highlight w:val="none"/>
          <w:u w:val="single"/>
        </w:rPr>
        <w:t>设计压力小于</w:t>
      </w:r>
      <w:r>
        <w:rPr>
          <w:rFonts w:ascii="Times New Roman" w:hAnsi="Times New Roman" w:eastAsia="宋体"/>
          <w:sz w:val="24"/>
          <w:highlight w:val="none"/>
          <w:u w:val="single"/>
        </w:rPr>
        <w:t>4.0MPa</w:t>
      </w:r>
      <w:r>
        <w:rPr>
          <w:rFonts w:hint="eastAsia" w:ascii="Times New Roman" w:hAnsi="Times New Roman" w:eastAsia="宋体"/>
          <w:sz w:val="24"/>
          <w:highlight w:val="none"/>
          <w:u w:val="single"/>
        </w:rPr>
        <w:t>，</w:t>
      </w:r>
      <w:r>
        <w:rPr>
          <w:rFonts w:ascii="Times New Roman" w:hAnsi="Times New Roman" w:eastAsia="宋体"/>
          <w:sz w:val="24"/>
          <w:highlight w:val="none"/>
          <w:u w:val="single"/>
        </w:rPr>
        <w:t>DN80</w:t>
      </w:r>
      <w:r>
        <w:rPr>
          <w:rFonts w:hint="eastAsia" w:ascii="Times New Roman" w:hAnsi="Times New Roman" w:eastAsia="宋体"/>
          <w:sz w:val="24"/>
          <w:highlight w:val="none"/>
          <w:u w:val="single"/>
        </w:rPr>
        <w:t>及以上的球阀采用固定式结构；固定球球阀阀座密封结构应为浮动座双重密封，阀座上下游可同时密封结构。</w:t>
      </w:r>
    </w:p>
    <w:p w14:paraId="22C263BA">
      <w:pPr>
        <w:tabs>
          <w:tab w:val="left" w:pos="851"/>
        </w:tabs>
        <w:spacing w:line="360" w:lineRule="auto"/>
        <w:ind w:firstLine="480" w:firstLineChars="200"/>
        <w:textAlignment w:val="baseline"/>
        <w:rPr>
          <w:rFonts w:ascii="Times New Roman" w:hAnsi="Times New Roman" w:eastAsia="宋体"/>
          <w:sz w:val="24"/>
          <w:highlight w:val="none"/>
        </w:rPr>
      </w:pPr>
      <w:r>
        <w:rPr>
          <w:rFonts w:hint="eastAsia" w:ascii="Times New Roman" w:hAnsi="Times New Roman" w:eastAsia="宋体"/>
          <w:sz w:val="24"/>
          <w:highlight w:val="none"/>
        </w:rPr>
        <w:t>（</w:t>
      </w:r>
      <w:r>
        <w:rPr>
          <w:rFonts w:ascii="Times New Roman" w:hAnsi="Times New Roman" w:eastAsia="宋体"/>
          <w:sz w:val="24"/>
          <w:highlight w:val="none"/>
        </w:rPr>
        <w:t>3</w:t>
      </w:r>
      <w:r>
        <w:rPr>
          <w:rFonts w:hint="eastAsia" w:ascii="Times New Roman" w:hAnsi="Times New Roman" w:eastAsia="宋体"/>
          <w:sz w:val="24"/>
          <w:highlight w:val="none"/>
        </w:rPr>
        <w:t>）</w:t>
      </w:r>
      <w:r>
        <w:rPr>
          <w:rFonts w:ascii="Times New Roman" w:hAnsi="Times New Roman" w:eastAsia="宋体"/>
          <w:sz w:val="24"/>
          <w:highlight w:val="none"/>
        </w:rPr>
        <w:t>阀门应能满足连续运行30年以上，且相关性能（操作与密封）能长期满足工况要求。</w:t>
      </w:r>
    </w:p>
    <w:bookmarkEnd w:id="0"/>
    <w:p w14:paraId="2FE12676">
      <w:pPr>
        <w:tabs>
          <w:tab w:val="left" w:pos="851"/>
        </w:tabs>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napToGrid w:val="0"/>
          <w:kern w:val="0"/>
          <w:sz w:val="24"/>
          <w:highlight w:val="none"/>
        </w:rPr>
        <w:t>（</w:t>
      </w:r>
      <w:r>
        <w:rPr>
          <w:rFonts w:ascii="Times New Roman" w:hAnsi="Times New Roman" w:eastAsia="宋体" w:cs="Arial"/>
          <w:snapToGrid w:val="0"/>
          <w:kern w:val="0"/>
          <w:sz w:val="24"/>
          <w:highlight w:val="none"/>
        </w:rPr>
        <w:t>4</w:t>
      </w:r>
      <w:r>
        <w:rPr>
          <w:rFonts w:hint="eastAsia" w:ascii="Times New Roman" w:hAnsi="Times New Roman" w:eastAsia="宋体" w:cs="Arial"/>
          <w:snapToGrid w:val="0"/>
          <w:kern w:val="0"/>
          <w:sz w:val="24"/>
          <w:highlight w:val="none"/>
        </w:rPr>
        <w:t>）</w:t>
      </w:r>
      <w:r>
        <w:rPr>
          <w:rFonts w:ascii="Times New Roman" w:hAnsi="Times New Roman" w:eastAsia="宋体" w:cs="Arial"/>
          <w:snapToGrid w:val="0"/>
          <w:kern w:val="0"/>
          <w:sz w:val="24"/>
          <w:highlight w:val="none"/>
        </w:rPr>
        <w:t>阀门应保证阀体压力超过管线压力</w:t>
      </w:r>
      <w:r>
        <w:rPr>
          <w:rFonts w:hint="eastAsia" w:ascii="Times New Roman" w:hAnsi="Times New Roman" w:eastAsia="宋体" w:cs="Arial"/>
          <w:snapToGrid w:val="0"/>
          <w:kern w:val="0"/>
          <w:sz w:val="24"/>
          <w:highlight w:val="none"/>
        </w:rPr>
        <w:t>时</w:t>
      </w:r>
      <w:r>
        <w:rPr>
          <w:rFonts w:ascii="Times New Roman" w:hAnsi="Times New Roman" w:eastAsia="宋体" w:cs="Arial"/>
          <w:snapToGrid w:val="0"/>
          <w:kern w:val="0"/>
          <w:sz w:val="24"/>
          <w:highlight w:val="none"/>
        </w:rPr>
        <w:t>能自动泄放，任何一边均能够承受全压差，双活塞效应阀座，非金属弹性密封结构的球阀，要求在气密性实验时，不加注密封脂的情况下达到零泄漏。</w:t>
      </w:r>
    </w:p>
    <w:p w14:paraId="70C84FD8">
      <w:pPr>
        <w:tabs>
          <w:tab w:val="left" w:pos="851"/>
        </w:tabs>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w:t>
      </w:r>
      <w:r>
        <w:rPr>
          <w:rFonts w:ascii="Times New Roman" w:hAnsi="Times New Roman" w:eastAsia="宋体" w:cs="Arial"/>
          <w:sz w:val="24"/>
          <w:highlight w:val="none"/>
        </w:rPr>
        <w:t>5</w:t>
      </w:r>
      <w:r>
        <w:rPr>
          <w:rFonts w:hint="eastAsia" w:ascii="Times New Roman" w:hAnsi="Times New Roman" w:eastAsia="宋体" w:cs="Arial"/>
          <w:sz w:val="24"/>
          <w:highlight w:val="none"/>
        </w:rPr>
        <w:t>）</w:t>
      </w:r>
      <w:r>
        <w:rPr>
          <w:rFonts w:ascii="Times New Roman" w:hAnsi="Times New Roman" w:eastAsia="宋体" w:cs="Arial"/>
          <w:snapToGrid w:val="0"/>
          <w:kern w:val="0"/>
          <w:sz w:val="24"/>
          <w:highlight w:val="none"/>
        </w:rPr>
        <w:t>手动操作的阀门应便于人工操作，其手柄长度不超过500mm，且手轮和手柄的操作力不大于200N。</w:t>
      </w:r>
      <w:r>
        <w:rPr>
          <w:rFonts w:hint="eastAsia" w:ascii="Times New Roman" w:hAnsi="Times New Roman" w:eastAsia="宋体"/>
          <w:sz w:val="24"/>
          <w:highlight w:val="none"/>
          <w:u w:val="single"/>
        </w:rPr>
        <w:t>站内公称直径大于</w:t>
      </w:r>
      <w:r>
        <w:rPr>
          <w:rFonts w:ascii="Times New Roman" w:hAnsi="Times New Roman" w:eastAsia="宋体"/>
          <w:sz w:val="24"/>
          <w:highlight w:val="none"/>
          <w:u w:val="single"/>
        </w:rPr>
        <w:t>DN150</w:t>
      </w:r>
      <w:r>
        <w:rPr>
          <w:rFonts w:hint="eastAsia" w:ascii="Times New Roman" w:hAnsi="Times New Roman" w:eastAsia="宋体"/>
          <w:sz w:val="24"/>
          <w:highlight w:val="none"/>
          <w:u w:val="single"/>
        </w:rPr>
        <w:t>（含</w:t>
      </w:r>
      <w:r>
        <w:rPr>
          <w:rFonts w:ascii="Times New Roman" w:hAnsi="Times New Roman" w:eastAsia="宋体"/>
          <w:sz w:val="24"/>
          <w:highlight w:val="none"/>
          <w:u w:val="single"/>
        </w:rPr>
        <w:t>DN150</w:t>
      </w:r>
      <w:r>
        <w:rPr>
          <w:rFonts w:hint="eastAsia" w:ascii="Times New Roman" w:hAnsi="Times New Roman" w:eastAsia="宋体"/>
          <w:sz w:val="24"/>
          <w:highlight w:val="none"/>
          <w:u w:val="single"/>
        </w:rPr>
        <w:t>）法兰球阀选用涡轮传动球阀。</w:t>
      </w:r>
    </w:p>
    <w:p w14:paraId="6E40B609">
      <w:pPr>
        <w:spacing w:line="360" w:lineRule="auto"/>
        <w:ind w:firstLine="480" w:firstLineChars="200"/>
        <w:rPr>
          <w:rFonts w:ascii="Times New Roman" w:hAnsi="Times New Roman" w:eastAsia="宋体" w:cs="Arial"/>
          <w:sz w:val="24"/>
          <w:highlight w:val="none"/>
        </w:rPr>
      </w:pPr>
      <w:r>
        <w:rPr>
          <w:rFonts w:hint="eastAsia" w:ascii="Times New Roman" w:hAnsi="Times New Roman" w:eastAsia="宋体" w:cs="Arial"/>
          <w:sz w:val="24"/>
          <w:highlight w:val="none"/>
        </w:rPr>
        <w:t>（</w:t>
      </w:r>
      <w:r>
        <w:rPr>
          <w:rFonts w:ascii="Times New Roman" w:hAnsi="Times New Roman" w:eastAsia="宋体" w:cs="Arial"/>
          <w:sz w:val="24"/>
          <w:highlight w:val="none"/>
        </w:rPr>
        <w:t>6</w:t>
      </w:r>
      <w:r>
        <w:rPr>
          <w:rFonts w:hint="eastAsia" w:ascii="Times New Roman" w:hAnsi="Times New Roman" w:eastAsia="宋体" w:cs="Arial"/>
          <w:sz w:val="24"/>
          <w:highlight w:val="none"/>
        </w:rPr>
        <w:t>）</w:t>
      </w:r>
      <w:r>
        <w:rPr>
          <w:rFonts w:ascii="Times New Roman" w:hAnsi="Times New Roman" w:eastAsia="宋体" w:cs="Arial"/>
          <w:sz w:val="24"/>
          <w:highlight w:val="none"/>
        </w:rPr>
        <w:t>阀门应能实现双向截断和体腔泄压(DBB)的功能，配有双活塞效应的阀座，并保证每一侧都能承受双向全压差密封，达到零泄漏，阀腔可自动泄压；软密封材料为PTFE或其它与之相当的材料；阀杆的密封结构应满足在线维修的要求</w:t>
      </w:r>
      <w:r>
        <w:rPr>
          <w:rFonts w:hint="eastAsia" w:ascii="Times New Roman" w:hAnsi="Times New Roman" w:eastAsia="宋体" w:cs="Arial"/>
          <w:sz w:val="24"/>
          <w:highlight w:val="none"/>
        </w:rPr>
        <w:t>。</w:t>
      </w:r>
    </w:p>
    <w:p w14:paraId="69DD1698">
      <w:pPr>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(7)压力等级小于4.0MPa的球阀，阀体材质选用铸钢；压力等级大于等于4.0MPa的球阀，阀体材质选用锻钢。</w:t>
      </w:r>
    </w:p>
    <w:p w14:paraId="49738C75">
      <w:pPr>
        <w:spacing w:line="360" w:lineRule="auto"/>
        <w:ind w:firstLine="480" w:firstLineChars="200"/>
        <w:rPr>
          <w:rFonts w:ascii="Times New Roman" w:hAnsi="Times New Roman" w:eastAsia="宋体" w:cs="Arial"/>
          <w:sz w:val="24"/>
          <w:highlight w:val="none"/>
        </w:rPr>
      </w:pPr>
    </w:p>
    <w:p w14:paraId="4E6C7558">
      <w:pPr>
        <w:spacing w:line="360" w:lineRule="auto"/>
        <w:outlineLvl w:val="0"/>
        <w:rPr>
          <w:rFonts w:ascii="Times New Roman" w:hAnsi="Times New Roman" w:eastAsia="宋体"/>
          <w:b/>
          <w:bCs/>
          <w:sz w:val="24"/>
          <w:highlight w:val="none"/>
          <w:shd w:val="clear" w:color="auto" w:fill="FFFFFF"/>
        </w:rPr>
      </w:pPr>
      <w:r>
        <w:rPr>
          <w:rFonts w:hint="eastAsia"/>
          <w:b/>
          <w:bCs/>
          <w:sz w:val="24"/>
          <w:highlight w:val="none"/>
          <w:shd w:val="clear" w:color="auto" w:fill="FFFFFF"/>
          <w:lang w:val="en-US" w:eastAsia="zh-CN"/>
        </w:rPr>
        <w:t>5</w:t>
      </w:r>
      <w:r>
        <w:rPr>
          <w:rFonts w:hint="eastAsia" w:ascii="Times New Roman" w:hAnsi="Times New Roman" w:eastAsia="宋体"/>
          <w:b/>
          <w:bCs/>
          <w:sz w:val="24"/>
          <w:highlight w:val="none"/>
          <w:shd w:val="clear" w:color="auto" w:fill="FFFFFF"/>
        </w:rPr>
        <w:t>、节流截止放空阀和阀套式排污阀</w:t>
      </w:r>
    </w:p>
    <w:p w14:paraId="7D85DD63">
      <w:pPr>
        <w:pStyle w:val="27"/>
        <w:numPr>
          <w:ilvl w:val="0"/>
          <w:numId w:val="2"/>
        </w:numPr>
        <w:spacing w:line="360" w:lineRule="auto"/>
        <w:ind w:firstLineChars="0"/>
        <w:textAlignment w:val="baseline"/>
        <w:rPr>
          <w:rFonts w:ascii="Times New Roman" w:hAnsi="Times New Roman" w:eastAsia="宋体" w:cs="Arial"/>
          <w:sz w:val="24"/>
          <w:highlight w:val="none"/>
        </w:rPr>
      </w:pPr>
      <w:r>
        <w:rPr>
          <w:rFonts w:ascii="Times New Roman" w:hAnsi="Times New Roman" w:eastAsia="宋体" w:cs="Arial"/>
          <w:sz w:val="24"/>
          <w:highlight w:val="none"/>
        </w:rPr>
        <w:t>阀门全开时，流通面积不少于阀门公称通径相应面积的80%。</w:t>
      </w:r>
    </w:p>
    <w:p w14:paraId="17770CB5">
      <w:pPr>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（2）</w:t>
      </w:r>
      <w:r>
        <w:rPr>
          <w:rFonts w:ascii="Times New Roman" w:hAnsi="Times New Roman" w:eastAsia="宋体" w:cs="Arial"/>
          <w:sz w:val="24"/>
          <w:highlight w:val="none"/>
        </w:rPr>
        <w:t>节流截止放空阀和阀套式排污阀均采用双质密封（硬密封和软密封），保证阀门具有可靠的密封性能。</w:t>
      </w:r>
    </w:p>
    <w:p w14:paraId="5D2ACB97">
      <w:pPr>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w:t>
      </w:r>
      <w:r>
        <w:rPr>
          <w:rFonts w:ascii="Times New Roman" w:hAnsi="Times New Roman" w:eastAsia="宋体" w:cs="Arial"/>
          <w:sz w:val="24"/>
          <w:highlight w:val="none"/>
        </w:rPr>
        <w:t>3</w:t>
      </w:r>
      <w:r>
        <w:rPr>
          <w:rFonts w:hint="eastAsia" w:ascii="Times New Roman" w:hAnsi="Times New Roman" w:eastAsia="宋体" w:cs="Arial"/>
          <w:sz w:val="24"/>
          <w:highlight w:val="none"/>
        </w:rPr>
        <w:t>）</w:t>
      </w:r>
      <w:r>
        <w:rPr>
          <w:rFonts w:ascii="Times New Roman" w:hAnsi="Times New Roman" w:eastAsia="宋体" w:cs="Arial"/>
          <w:sz w:val="24"/>
          <w:highlight w:val="none"/>
        </w:rPr>
        <w:t>节流截止放空阀应具有节流作用，节流部位与密封面分开，以减小气流对密封面的冲刷。阀门应同时具有节流与截止作用，在控制流量时应能连续的平稳操作，在关闭时应能达到零泄漏的要求。同时，零泄漏的功能不能以频繁更换密封材料来实现。用于密封的软密封材料和密封脂应适合于所输送的流体介质。</w:t>
      </w:r>
    </w:p>
    <w:p w14:paraId="71D27814">
      <w:pPr>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w:t>
      </w:r>
      <w:r>
        <w:rPr>
          <w:rFonts w:ascii="Times New Roman" w:hAnsi="Times New Roman" w:eastAsia="宋体" w:cs="Arial"/>
          <w:sz w:val="24"/>
          <w:highlight w:val="none"/>
        </w:rPr>
        <w:t>4</w:t>
      </w:r>
      <w:r>
        <w:rPr>
          <w:rFonts w:hint="eastAsia" w:ascii="Times New Roman" w:hAnsi="Times New Roman" w:eastAsia="宋体" w:cs="Arial"/>
          <w:sz w:val="24"/>
          <w:highlight w:val="none"/>
        </w:rPr>
        <w:t>）</w:t>
      </w:r>
      <w:r>
        <w:rPr>
          <w:rFonts w:ascii="Times New Roman" w:hAnsi="Times New Roman" w:eastAsia="宋体" w:cs="Arial"/>
          <w:sz w:val="24"/>
          <w:highlight w:val="none"/>
        </w:rPr>
        <w:t>节流截止放空阀设计应考虑在启/闭全压差条件下稳定操作，操作扭矩小，耐气流冲刷，耐磨损，泄漏量为零。</w:t>
      </w:r>
    </w:p>
    <w:p w14:paraId="1EC6C498">
      <w:pPr>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（5）</w:t>
      </w:r>
      <w:r>
        <w:rPr>
          <w:rFonts w:ascii="Times New Roman" w:hAnsi="Times New Roman" w:eastAsia="宋体"/>
          <w:sz w:val="24"/>
          <w:highlight w:val="none"/>
        </w:rPr>
        <w:t>阀套式排污阀要求密封可靠、耐冲刷、排污性能好、使用寿命长，阀门至少满足30年的设计寿命。</w:t>
      </w:r>
      <w:r>
        <w:rPr>
          <w:rFonts w:ascii="Times New Roman" w:hAnsi="Times New Roman" w:eastAsia="宋体" w:cs="Arial"/>
          <w:sz w:val="24"/>
          <w:highlight w:val="none"/>
        </w:rPr>
        <w:t>阀套式排污阀应设排污孔，必要时可以打开，清理阀内污物。</w:t>
      </w:r>
    </w:p>
    <w:p w14:paraId="0D6EA688">
      <w:pPr>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（6）阀门均为法兰连接，操作方式为手轮操作，</w:t>
      </w:r>
      <w:r>
        <w:rPr>
          <w:rFonts w:ascii="Times New Roman" w:hAnsi="Times New Roman" w:eastAsia="宋体" w:cs="Arial"/>
          <w:sz w:val="24"/>
          <w:highlight w:val="none"/>
        </w:rPr>
        <w:t>手轮的操作力不大于250N。所有工况下噪音应控制在85分贝以下。</w:t>
      </w:r>
    </w:p>
    <w:p w14:paraId="5BA9D253">
      <w:pPr>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(7)压力等级小于4.0MPa的球阀，阀体材质选用铸钢；压力等级大于等于4.0MPa的球阀，阀体材质选用锻钢。</w:t>
      </w:r>
    </w:p>
    <w:p w14:paraId="6EA54BDE">
      <w:pPr>
        <w:spacing w:line="360" w:lineRule="auto"/>
        <w:ind w:left="105" w:leftChars="50"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（8）</w:t>
      </w:r>
      <w:r>
        <w:rPr>
          <w:rFonts w:ascii="Times New Roman" w:hAnsi="Times New Roman" w:eastAsia="宋体" w:cs="Arial"/>
          <w:sz w:val="24"/>
          <w:highlight w:val="none"/>
        </w:rPr>
        <w:t>检验和测试：阀门的检验和测试应严格按GB/T13927与JB/T9092执行。检验和测试应在阀门表面处理和喷漆前进行。</w:t>
      </w:r>
    </w:p>
    <w:p w14:paraId="5EEC765D">
      <w:pPr>
        <w:spacing w:line="360" w:lineRule="auto"/>
        <w:outlineLvl w:val="0"/>
        <w:rPr>
          <w:rFonts w:ascii="Times New Roman" w:hAnsi="Times New Roman" w:eastAsia="宋体"/>
          <w:b/>
          <w:bCs/>
          <w:sz w:val="24"/>
          <w:highlight w:val="none"/>
          <w:shd w:val="clear" w:color="auto" w:fill="FFFFFF"/>
        </w:rPr>
      </w:pPr>
      <w:r>
        <w:rPr>
          <w:rFonts w:hint="eastAsia"/>
          <w:b/>
          <w:bCs/>
          <w:sz w:val="24"/>
          <w:highlight w:val="none"/>
          <w:shd w:val="clear" w:color="auto" w:fill="FFFFFF"/>
          <w:lang w:val="en-US" w:eastAsia="zh-CN"/>
        </w:rPr>
        <w:t>6</w:t>
      </w:r>
      <w:r>
        <w:rPr>
          <w:rFonts w:hint="eastAsia" w:ascii="Times New Roman" w:hAnsi="Times New Roman" w:eastAsia="宋体"/>
          <w:b/>
          <w:bCs/>
          <w:sz w:val="24"/>
          <w:highlight w:val="none"/>
          <w:shd w:val="clear" w:color="auto" w:fill="FFFFFF"/>
        </w:rPr>
        <w:t>、安全阀</w:t>
      </w:r>
    </w:p>
    <w:p w14:paraId="1ED1BA40">
      <w:pPr>
        <w:spacing w:line="360" w:lineRule="auto"/>
        <w:outlineLvl w:val="0"/>
        <w:rPr>
          <w:rFonts w:ascii="Times New Roman" w:hAnsi="Times New Roman" w:eastAsia="宋体" w:cs="Arial"/>
          <w:sz w:val="24"/>
          <w:highlight w:val="none"/>
        </w:rPr>
      </w:pPr>
      <w:r>
        <w:rPr>
          <w:rFonts w:hint="eastAsia" w:ascii="Times New Roman" w:hAnsi="Times New Roman" w:eastAsia="宋体"/>
          <w:b/>
          <w:bCs/>
          <w:sz w:val="24"/>
          <w:highlight w:val="none"/>
          <w:shd w:val="clear" w:color="auto" w:fill="FFFFFF"/>
        </w:rPr>
        <w:t xml:space="preserve">    </w:t>
      </w:r>
      <w:r>
        <w:rPr>
          <w:rFonts w:hint="eastAsia" w:ascii="Times New Roman" w:hAnsi="Times New Roman" w:eastAsia="宋体"/>
          <w:sz w:val="24"/>
          <w:highlight w:val="none"/>
        </w:rPr>
        <w:t>（1）设计压力小于等于</w:t>
      </w:r>
      <w:r>
        <w:rPr>
          <w:rFonts w:ascii="Times New Roman" w:hAnsi="Times New Roman" w:eastAsia="宋体"/>
          <w:sz w:val="24"/>
          <w:highlight w:val="none"/>
        </w:rPr>
        <w:t>4.0MPa的时候选择全启式安全阀；设计压力大于4.0MPa的时候选择先导式安全阀</w:t>
      </w:r>
      <w:r>
        <w:rPr>
          <w:rFonts w:hint="eastAsia" w:ascii="Times New Roman" w:hAnsi="Times New Roman" w:eastAsia="宋体"/>
          <w:sz w:val="24"/>
          <w:highlight w:val="none"/>
        </w:rPr>
        <w:t>。</w:t>
      </w:r>
    </w:p>
    <w:p w14:paraId="01AF5082">
      <w:pPr>
        <w:adjustRightInd w:val="0"/>
        <w:snapToGrid w:val="0"/>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（2）</w:t>
      </w:r>
      <w:r>
        <w:rPr>
          <w:rFonts w:ascii="Times New Roman" w:hAnsi="Times New Roman" w:eastAsia="宋体" w:cs="Arial"/>
          <w:sz w:val="24"/>
          <w:highlight w:val="none"/>
        </w:rPr>
        <w:t>安全阀必须是全封闭式，在安全阀的排气侧要求密封严密阀所排出的气体全部通过放散管排出，泄漏量应满足下列规定：密封试验压力为96％的整定压力不许泄漏；</w:t>
      </w:r>
    </w:p>
    <w:p w14:paraId="02A90AF7">
      <w:pPr>
        <w:adjustRightInd w:val="0"/>
        <w:snapToGrid w:val="0"/>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（3）</w:t>
      </w:r>
      <w:r>
        <w:rPr>
          <w:rFonts w:ascii="Times New Roman" w:hAnsi="Times New Roman" w:eastAsia="宋体" w:cs="Arial"/>
          <w:sz w:val="24"/>
          <w:highlight w:val="none"/>
        </w:rPr>
        <w:t>安全阀的阀体可以是截止阀形式，或满足本技术要的其它形式，阀端采用法兰连接，如采用连接法兰应与阀体一同铸造或锻造；</w:t>
      </w:r>
    </w:p>
    <w:p w14:paraId="6841BB53">
      <w:pPr>
        <w:adjustRightInd w:val="0"/>
        <w:snapToGrid w:val="0"/>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（4）</w:t>
      </w:r>
      <w:r>
        <w:rPr>
          <w:rFonts w:ascii="Times New Roman" w:hAnsi="Times New Roman" w:eastAsia="宋体" w:cs="Arial"/>
          <w:sz w:val="24"/>
          <w:highlight w:val="none"/>
        </w:rPr>
        <w:t>阀座应固定在阀体上，不得松动。当弹簧破损时，阀瓣等零件不会飞出阀体外；</w:t>
      </w:r>
    </w:p>
    <w:p w14:paraId="120BBCC8">
      <w:pPr>
        <w:adjustRightInd w:val="0"/>
        <w:snapToGrid w:val="0"/>
        <w:spacing w:line="360" w:lineRule="auto"/>
        <w:ind w:firstLine="480" w:firstLineChars="200"/>
        <w:textAlignment w:val="baseline"/>
        <w:rPr>
          <w:rFonts w:ascii="Times New Roman" w:hAnsi="Times New Roman" w:eastAsia="宋体" w:cs="Arial"/>
          <w:sz w:val="24"/>
          <w:highlight w:val="none"/>
        </w:rPr>
      </w:pPr>
      <w:r>
        <w:rPr>
          <w:rFonts w:hint="eastAsia" w:ascii="Times New Roman" w:hAnsi="Times New Roman" w:eastAsia="宋体" w:cs="Arial"/>
          <w:sz w:val="24"/>
          <w:highlight w:val="none"/>
        </w:rPr>
        <w:t>（5）</w:t>
      </w:r>
      <w:r>
        <w:rPr>
          <w:rFonts w:ascii="Times New Roman" w:hAnsi="Times New Roman" w:eastAsia="宋体"/>
          <w:sz w:val="24"/>
          <w:highlight w:val="none"/>
        </w:rPr>
        <w:t>当管线压力小于等于最大操作压力时，安全阀应能保证密封，达到零泄漏。当安全阀达到设定值时应能迅速起跳泄放压力，安全阀起跳压力和设定值之间的精度为±1％，回座压力精度为4％~6％；厂家应提供具体指标及权威机构对该指标的测试证明报告，并得到业主认可。当管线压力回落至最大操作压力时，安全阀应关闭。要求安全阀在多次操作后，应仍能准确起跳和复位，且关闭严密。</w:t>
      </w:r>
    </w:p>
    <w:p w14:paraId="38436992">
      <w:pPr>
        <w:adjustRightInd w:val="0"/>
        <w:snapToGrid w:val="0"/>
        <w:spacing w:line="360" w:lineRule="auto"/>
        <w:textAlignment w:val="baseline"/>
        <w:rPr>
          <w:rFonts w:ascii="Times New Roman" w:hAnsi="Times New Roman" w:eastAsia="宋体" w:cs="Arial"/>
          <w:sz w:val="24"/>
          <w:highlight w:val="none"/>
        </w:rPr>
      </w:pPr>
    </w:p>
    <w:p w14:paraId="66D59068">
      <w:pPr>
        <w:spacing w:line="360" w:lineRule="auto"/>
        <w:outlineLvl w:val="0"/>
        <w:rPr>
          <w:rFonts w:ascii="Times New Roman" w:hAnsi="Times New Roman" w:eastAsia="宋体"/>
          <w:b/>
          <w:bCs/>
          <w:sz w:val="24"/>
          <w:highlight w:val="none"/>
          <w:shd w:val="clear" w:color="auto" w:fill="FFFFFF"/>
        </w:rPr>
      </w:pPr>
      <w:r>
        <w:rPr>
          <w:rFonts w:hint="eastAsia"/>
          <w:b/>
          <w:bCs/>
          <w:sz w:val="24"/>
          <w:highlight w:val="none"/>
          <w:shd w:val="clear" w:color="auto" w:fill="FFFFFF"/>
          <w:lang w:val="en-US" w:eastAsia="zh-CN"/>
        </w:rPr>
        <w:t>7</w:t>
      </w:r>
      <w:r>
        <w:rPr>
          <w:rFonts w:hint="eastAsia" w:ascii="Times New Roman" w:hAnsi="Times New Roman" w:eastAsia="宋体"/>
          <w:b/>
          <w:bCs/>
          <w:sz w:val="24"/>
          <w:highlight w:val="none"/>
          <w:shd w:val="clear" w:color="auto" w:fill="FFFFFF"/>
        </w:rPr>
        <w:t>、电动执行机构</w:t>
      </w:r>
    </w:p>
    <w:p w14:paraId="4CFF3538">
      <w:pPr>
        <w:spacing w:line="360" w:lineRule="auto"/>
        <w:ind w:firstLine="480"/>
        <w:outlineLvl w:val="0"/>
        <w:rPr>
          <w:rFonts w:ascii="Times New Roman" w:hAnsi="Times New Roman" w:eastAsia="宋体"/>
          <w:bCs/>
          <w:sz w:val="24"/>
          <w:highlight w:val="none"/>
          <w:shd w:val="clear" w:color="auto" w:fill="FFFFFF"/>
        </w:rPr>
      </w:pPr>
      <w:r>
        <w:rPr>
          <w:rFonts w:hint="eastAsia" w:ascii="Times New Roman" w:hAnsi="Times New Roman" w:eastAsia="宋体"/>
          <w:bCs/>
          <w:sz w:val="24"/>
          <w:highlight w:val="none"/>
          <w:shd w:val="clear" w:color="auto" w:fill="FFFFFF"/>
        </w:rPr>
        <w:t>（1）电动执行机构操作参数</w:t>
      </w:r>
    </w:p>
    <w:tbl>
      <w:tblPr>
        <w:tblStyle w:val="15"/>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1185"/>
        <w:gridCol w:w="1185"/>
        <w:gridCol w:w="1185"/>
        <w:gridCol w:w="1185"/>
        <w:gridCol w:w="1441"/>
        <w:gridCol w:w="2263"/>
      </w:tblGrid>
      <w:tr w14:paraId="53F1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Align w:val="center"/>
          </w:tcPr>
          <w:p w14:paraId="5ABAE0AB">
            <w:pPr>
              <w:spacing w:line="360" w:lineRule="auto"/>
              <w:jc w:val="center"/>
              <w:outlineLvl w:val="0"/>
              <w:rPr>
                <w:rFonts w:ascii="Times New Roman" w:hAnsi="Times New Roman" w:eastAsia="宋体"/>
                <w:b/>
                <w:bCs/>
                <w:szCs w:val="21"/>
                <w:highlight w:val="none"/>
                <w:shd w:val="clear" w:color="auto" w:fill="FFFFFF"/>
              </w:rPr>
            </w:pPr>
            <w:r>
              <w:rPr>
                <w:rFonts w:hint="eastAsia" w:ascii="Times New Roman" w:hAnsi="Times New Roman" w:eastAsia="宋体"/>
                <w:b/>
                <w:bCs/>
                <w:szCs w:val="21"/>
                <w:highlight w:val="none"/>
                <w:shd w:val="clear" w:color="auto" w:fill="FFFFFF"/>
              </w:rPr>
              <w:t>序号</w:t>
            </w:r>
          </w:p>
        </w:tc>
        <w:tc>
          <w:tcPr>
            <w:tcW w:w="1185" w:type="dxa"/>
            <w:vAlign w:val="center"/>
          </w:tcPr>
          <w:p w14:paraId="516F3EBE">
            <w:pPr>
              <w:spacing w:line="360" w:lineRule="auto"/>
              <w:jc w:val="center"/>
              <w:outlineLvl w:val="0"/>
              <w:rPr>
                <w:rFonts w:ascii="Times New Roman" w:hAnsi="Times New Roman" w:eastAsia="宋体"/>
                <w:b/>
                <w:bCs/>
                <w:szCs w:val="21"/>
                <w:highlight w:val="none"/>
                <w:shd w:val="clear" w:color="auto" w:fill="FFFFFF"/>
              </w:rPr>
            </w:pPr>
            <w:r>
              <w:rPr>
                <w:rFonts w:hint="eastAsia" w:ascii="Times New Roman" w:hAnsi="Times New Roman" w:eastAsia="宋体"/>
                <w:b/>
                <w:bCs/>
                <w:szCs w:val="21"/>
                <w:highlight w:val="none"/>
                <w:shd w:val="clear" w:color="auto" w:fill="FFFFFF"/>
              </w:rPr>
              <w:t>设计压力（MPa）</w:t>
            </w:r>
          </w:p>
        </w:tc>
        <w:tc>
          <w:tcPr>
            <w:tcW w:w="1185" w:type="dxa"/>
            <w:vAlign w:val="center"/>
          </w:tcPr>
          <w:p w14:paraId="151A4735">
            <w:pPr>
              <w:spacing w:line="360" w:lineRule="auto"/>
              <w:jc w:val="center"/>
              <w:outlineLvl w:val="0"/>
              <w:rPr>
                <w:rFonts w:ascii="Times New Roman" w:hAnsi="Times New Roman" w:eastAsia="宋体"/>
                <w:b/>
                <w:bCs/>
                <w:szCs w:val="21"/>
                <w:highlight w:val="none"/>
                <w:shd w:val="clear" w:color="auto" w:fill="FFFFFF"/>
              </w:rPr>
            </w:pPr>
            <w:r>
              <w:rPr>
                <w:rFonts w:hint="eastAsia" w:ascii="Times New Roman" w:hAnsi="Times New Roman" w:eastAsia="宋体"/>
                <w:b/>
                <w:bCs/>
                <w:szCs w:val="21"/>
                <w:highlight w:val="none"/>
                <w:shd w:val="clear" w:color="auto" w:fill="FFFFFF"/>
              </w:rPr>
              <w:t>操作压力（MPa）</w:t>
            </w:r>
          </w:p>
        </w:tc>
        <w:tc>
          <w:tcPr>
            <w:tcW w:w="1185" w:type="dxa"/>
            <w:vAlign w:val="center"/>
          </w:tcPr>
          <w:p w14:paraId="4A1CEE88">
            <w:pPr>
              <w:spacing w:line="360" w:lineRule="auto"/>
              <w:jc w:val="center"/>
              <w:outlineLvl w:val="0"/>
              <w:rPr>
                <w:rFonts w:ascii="Times New Roman" w:hAnsi="Times New Roman" w:eastAsia="宋体"/>
                <w:b/>
                <w:bCs/>
                <w:szCs w:val="21"/>
                <w:highlight w:val="none"/>
                <w:shd w:val="clear" w:color="auto" w:fill="FFFFFF"/>
              </w:rPr>
            </w:pPr>
            <w:r>
              <w:rPr>
                <w:rFonts w:hint="eastAsia" w:ascii="Times New Roman" w:hAnsi="Times New Roman" w:eastAsia="宋体"/>
                <w:b/>
                <w:bCs/>
                <w:szCs w:val="21"/>
                <w:highlight w:val="none"/>
                <w:shd w:val="clear" w:color="auto" w:fill="FFFFFF"/>
              </w:rPr>
              <w:t>最大压差（MPa）</w:t>
            </w:r>
          </w:p>
        </w:tc>
        <w:tc>
          <w:tcPr>
            <w:tcW w:w="1185" w:type="dxa"/>
            <w:vAlign w:val="center"/>
          </w:tcPr>
          <w:p w14:paraId="0C10CB74">
            <w:pPr>
              <w:spacing w:line="360" w:lineRule="auto"/>
              <w:jc w:val="center"/>
              <w:outlineLvl w:val="0"/>
              <w:rPr>
                <w:rFonts w:ascii="Times New Roman" w:hAnsi="Times New Roman" w:eastAsia="宋体"/>
                <w:b/>
                <w:bCs/>
                <w:szCs w:val="21"/>
                <w:highlight w:val="none"/>
                <w:shd w:val="clear" w:color="auto" w:fill="FFFFFF"/>
              </w:rPr>
            </w:pPr>
            <w:r>
              <w:rPr>
                <w:rFonts w:hint="eastAsia" w:ascii="Times New Roman" w:hAnsi="Times New Roman" w:eastAsia="宋体"/>
                <w:b/>
                <w:bCs/>
                <w:szCs w:val="21"/>
                <w:highlight w:val="none"/>
                <w:shd w:val="clear" w:color="auto" w:fill="FFFFFF"/>
              </w:rPr>
              <w:t>操作时间</w:t>
            </w:r>
          </w:p>
        </w:tc>
        <w:tc>
          <w:tcPr>
            <w:tcW w:w="1441" w:type="dxa"/>
            <w:vAlign w:val="center"/>
          </w:tcPr>
          <w:p w14:paraId="1F242E88">
            <w:pPr>
              <w:spacing w:line="360" w:lineRule="auto"/>
              <w:jc w:val="center"/>
              <w:outlineLvl w:val="0"/>
              <w:rPr>
                <w:rFonts w:ascii="Times New Roman" w:hAnsi="Times New Roman" w:eastAsia="宋体"/>
                <w:b/>
                <w:bCs/>
                <w:szCs w:val="21"/>
                <w:highlight w:val="none"/>
                <w:shd w:val="clear" w:color="auto" w:fill="FFFFFF"/>
              </w:rPr>
            </w:pPr>
            <w:r>
              <w:rPr>
                <w:rFonts w:hint="eastAsia" w:ascii="Times New Roman" w:hAnsi="Times New Roman" w:eastAsia="宋体"/>
                <w:b/>
                <w:bCs/>
                <w:szCs w:val="21"/>
                <w:highlight w:val="none"/>
                <w:shd w:val="clear" w:color="auto" w:fill="FFFFFF"/>
              </w:rPr>
              <w:t>配套阀门口径和压力</w:t>
            </w:r>
          </w:p>
        </w:tc>
        <w:tc>
          <w:tcPr>
            <w:tcW w:w="2263" w:type="dxa"/>
            <w:vAlign w:val="center"/>
          </w:tcPr>
          <w:p w14:paraId="02B049D1">
            <w:pPr>
              <w:spacing w:line="360" w:lineRule="auto"/>
              <w:jc w:val="center"/>
              <w:outlineLvl w:val="0"/>
              <w:rPr>
                <w:rFonts w:ascii="Times New Roman" w:hAnsi="Times New Roman" w:eastAsia="宋体"/>
                <w:b/>
                <w:bCs/>
                <w:szCs w:val="21"/>
                <w:highlight w:val="none"/>
                <w:shd w:val="clear" w:color="auto" w:fill="FFFFFF"/>
              </w:rPr>
            </w:pPr>
            <w:r>
              <w:rPr>
                <w:rFonts w:hint="eastAsia" w:ascii="Times New Roman" w:hAnsi="Times New Roman" w:eastAsia="宋体"/>
                <w:b/>
                <w:bCs/>
                <w:szCs w:val="21"/>
                <w:highlight w:val="none"/>
                <w:shd w:val="clear" w:color="auto" w:fill="FFFFFF"/>
              </w:rPr>
              <w:t>备注</w:t>
            </w:r>
          </w:p>
        </w:tc>
      </w:tr>
      <w:tr w14:paraId="7C5C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Align w:val="center"/>
          </w:tcPr>
          <w:p w14:paraId="30A6DCF5">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1</w:t>
            </w:r>
          </w:p>
        </w:tc>
        <w:tc>
          <w:tcPr>
            <w:tcW w:w="1185" w:type="dxa"/>
            <w:vAlign w:val="center"/>
          </w:tcPr>
          <w:p w14:paraId="7000CC76">
            <w:pPr>
              <w:spacing w:line="360" w:lineRule="auto"/>
              <w:jc w:val="center"/>
              <w:outlineLvl w:val="0"/>
              <w:rPr>
                <w:rFonts w:hint="default" w:ascii="Times New Roman" w:hAnsi="Times New Roman" w:eastAsia="宋体"/>
                <w:color w:val="000000"/>
                <w:szCs w:val="21"/>
                <w:highlight w:val="none"/>
                <w:u w:val="single"/>
                <w:lang w:val="en-US" w:eastAsia="zh-CN"/>
              </w:rPr>
            </w:pPr>
            <w:r>
              <w:rPr>
                <w:rFonts w:hint="eastAsia"/>
                <w:color w:val="000000"/>
                <w:szCs w:val="21"/>
                <w:highlight w:val="none"/>
                <w:u w:val="single"/>
                <w:lang w:val="en-US" w:eastAsia="zh-CN"/>
              </w:rPr>
              <w:t>1.6</w:t>
            </w:r>
          </w:p>
        </w:tc>
        <w:tc>
          <w:tcPr>
            <w:tcW w:w="1185" w:type="dxa"/>
            <w:vAlign w:val="center"/>
          </w:tcPr>
          <w:p w14:paraId="16D5943C">
            <w:pPr>
              <w:spacing w:line="360" w:lineRule="auto"/>
              <w:jc w:val="center"/>
              <w:outlineLvl w:val="0"/>
              <w:rPr>
                <w:rFonts w:hint="default" w:ascii="Times New Roman" w:hAnsi="Times New Roman" w:eastAsia="宋体"/>
                <w:color w:val="000000"/>
                <w:szCs w:val="21"/>
                <w:highlight w:val="none"/>
                <w:u w:val="single"/>
                <w:lang w:val="en-US" w:eastAsia="zh-CN"/>
              </w:rPr>
            </w:pPr>
            <w:r>
              <w:rPr>
                <w:rFonts w:hint="eastAsia"/>
                <w:color w:val="000000"/>
                <w:szCs w:val="21"/>
                <w:highlight w:val="none"/>
                <w:u w:val="single"/>
                <w:lang w:val="en-US" w:eastAsia="zh-CN"/>
              </w:rPr>
              <w:t>0.8</w:t>
            </w:r>
            <w:r>
              <w:rPr>
                <w:rFonts w:hint="eastAsia" w:ascii="Times New Roman" w:hAnsi="Times New Roman" w:eastAsia="宋体"/>
                <w:color w:val="000000"/>
                <w:szCs w:val="21"/>
                <w:highlight w:val="none"/>
                <w:u w:val="single"/>
              </w:rPr>
              <w:t>~</w:t>
            </w:r>
            <w:r>
              <w:rPr>
                <w:rFonts w:hint="eastAsia"/>
                <w:color w:val="000000"/>
                <w:szCs w:val="21"/>
                <w:highlight w:val="none"/>
                <w:u w:val="single"/>
                <w:lang w:val="en-US" w:eastAsia="zh-CN"/>
              </w:rPr>
              <w:t>1.4</w:t>
            </w:r>
          </w:p>
        </w:tc>
        <w:tc>
          <w:tcPr>
            <w:tcW w:w="1185" w:type="dxa"/>
            <w:vAlign w:val="center"/>
          </w:tcPr>
          <w:p w14:paraId="5F383A08">
            <w:pPr>
              <w:spacing w:line="360" w:lineRule="auto"/>
              <w:jc w:val="center"/>
              <w:outlineLvl w:val="0"/>
              <w:rPr>
                <w:rFonts w:hint="default" w:ascii="Times New Roman" w:hAnsi="Times New Roman" w:eastAsia="宋体"/>
                <w:color w:val="000000"/>
                <w:szCs w:val="21"/>
                <w:highlight w:val="none"/>
                <w:u w:val="single"/>
                <w:lang w:val="en-US" w:eastAsia="zh-CN"/>
              </w:rPr>
            </w:pPr>
            <w:r>
              <w:rPr>
                <w:rFonts w:hint="eastAsia"/>
                <w:color w:val="000000"/>
                <w:szCs w:val="21"/>
                <w:highlight w:val="none"/>
                <w:u w:val="single"/>
                <w:lang w:val="en-US" w:eastAsia="zh-CN"/>
              </w:rPr>
              <w:t>0.6</w:t>
            </w:r>
          </w:p>
        </w:tc>
        <w:tc>
          <w:tcPr>
            <w:tcW w:w="1185" w:type="dxa"/>
            <w:vAlign w:val="center"/>
          </w:tcPr>
          <w:p w14:paraId="7B86809B">
            <w:pPr>
              <w:spacing w:line="360" w:lineRule="auto"/>
              <w:jc w:val="center"/>
              <w:outlineLvl w:val="0"/>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＜4</w:t>
            </w:r>
            <w:r>
              <w:rPr>
                <w:rFonts w:ascii="Times New Roman" w:hAnsi="Times New Roman" w:eastAsia="宋体"/>
                <w:color w:val="000000"/>
                <w:szCs w:val="21"/>
                <w:highlight w:val="none"/>
                <w:u w:val="single"/>
              </w:rPr>
              <w:t>0</w:t>
            </w:r>
            <w:r>
              <w:rPr>
                <w:rFonts w:hint="eastAsia" w:ascii="Times New Roman" w:hAnsi="Times New Roman" w:eastAsia="宋体"/>
                <w:color w:val="000000"/>
                <w:szCs w:val="21"/>
                <w:highlight w:val="none"/>
                <w:u w:val="single"/>
              </w:rPr>
              <w:t>S</w:t>
            </w:r>
          </w:p>
        </w:tc>
        <w:tc>
          <w:tcPr>
            <w:tcW w:w="1441" w:type="dxa"/>
            <w:vAlign w:val="center"/>
          </w:tcPr>
          <w:p w14:paraId="79F01323">
            <w:pPr>
              <w:spacing w:line="360" w:lineRule="auto"/>
              <w:jc w:val="center"/>
              <w:outlineLvl w:val="0"/>
              <w:rPr>
                <w:rFonts w:hint="default" w:ascii="Times New Roman" w:hAnsi="Times New Roman" w:eastAsia="宋体"/>
                <w:color w:val="000000"/>
                <w:szCs w:val="21"/>
                <w:highlight w:val="none"/>
                <w:u w:val="single"/>
                <w:lang w:val="en-US" w:eastAsia="zh-CN"/>
              </w:rPr>
            </w:pPr>
            <w:r>
              <w:rPr>
                <w:rFonts w:hint="eastAsia" w:ascii="Times New Roman" w:hAnsi="Times New Roman" w:eastAsia="宋体"/>
                <w:color w:val="000000"/>
                <w:szCs w:val="21"/>
                <w:highlight w:val="none"/>
                <w:u w:val="single"/>
              </w:rPr>
              <w:t>DN</w:t>
            </w:r>
            <w:r>
              <w:rPr>
                <w:rFonts w:hint="eastAsia"/>
                <w:color w:val="000000"/>
                <w:szCs w:val="21"/>
                <w:highlight w:val="none"/>
                <w:u w:val="single"/>
                <w:lang w:val="en-US" w:eastAsia="zh-CN"/>
              </w:rPr>
              <w:t>100</w:t>
            </w:r>
            <w:r>
              <w:rPr>
                <w:rFonts w:hint="eastAsia" w:ascii="Times New Roman" w:hAnsi="Times New Roman" w:eastAsia="宋体"/>
                <w:color w:val="000000"/>
                <w:szCs w:val="21"/>
                <w:highlight w:val="none"/>
                <w:u w:val="single"/>
              </w:rPr>
              <w:t>PN</w:t>
            </w:r>
            <w:r>
              <w:rPr>
                <w:rFonts w:hint="eastAsia" w:ascii="Times New Roman" w:hAnsi="Times New Roman" w:eastAsia="宋体"/>
                <w:color w:val="000000"/>
                <w:szCs w:val="21"/>
                <w:highlight w:val="none"/>
                <w:u w:val="single"/>
                <w:lang w:val="en-US" w:eastAsia="zh-CN"/>
              </w:rPr>
              <w:t>16</w:t>
            </w:r>
          </w:p>
        </w:tc>
        <w:tc>
          <w:tcPr>
            <w:tcW w:w="2263" w:type="dxa"/>
            <w:vAlign w:val="center"/>
          </w:tcPr>
          <w:p w14:paraId="4BF27EF7">
            <w:pPr>
              <w:spacing w:line="360" w:lineRule="auto"/>
              <w:jc w:val="center"/>
              <w:outlineLvl w:val="0"/>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带ESD紧急切断功能和开关阀位显示功能</w:t>
            </w:r>
          </w:p>
        </w:tc>
      </w:tr>
      <w:tr w14:paraId="7292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3" w:type="dxa"/>
            <w:vAlign w:val="center"/>
          </w:tcPr>
          <w:p w14:paraId="202F71F3">
            <w:pPr>
              <w:spacing w:line="360" w:lineRule="auto"/>
              <w:jc w:val="center"/>
              <w:outlineLvl w:val="0"/>
              <w:rPr>
                <w:rFonts w:ascii="Times New Roman" w:hAnsi="Times New Roman" w:eastAsia="宋体"/>
                <w:bCs/>
                <w:szCs w:val="21"/>
                <w:highlight w:val="none"/>
                <w:shd w:val="clear" w:color="auto" w:fill="FFFFFF"/>
              </w:rPr>
            </w:pPr>
            <w:r>
              <w:rPr>
                <w:rFonts w:hint="eastAsia" w:ascii="Times New Roman" w:hAnsi="Times New Roman" w:eastAsia="宋体"/>
                <w:bCs/>
                <w:szCs w:val="21"/>
                <w:highlight w:val="none"/>
                <w:shd w:val="clear" w:color="auto" w:fill="FFFFFF"/>
              </w:rPr>
              <w:t>2</w:t>
            </w:r>
          </w:p>
        </w:tc>
        <w:tc>
          <w:tcPr>
            <w:tcW w:w="1185" w:type="dxa"/>
            <w:vAlign w:val="center"/>
          </w:tcPr>
          <w:p w14:paraId="264BDC57">
            <w:pPr>
              <w:spacing w:line="360" w:lineRule="auto"/>
              <w:jc w:val="center"/>
              <w:outlineLvl w:val="0"/>
              <w:rPr>
                <w:rFonts w:hint="default" w:ascii="Times New Roman" w:hAnsi="Times New Roman" w:eastAsia="宋体"/>
                <w:color w:val="000000"/>
                <w:szCs w:val="21"/>
                <w:highlight w:val="none"/>
                <w:u w:val="single"/>
                <w:lang w:val="en-US" w:eastAsia="zh-CN"/>
              </w:rPr>
            </w:pPr>
            <w:r>
              <w:rPr>
                <w:rFonts w:hint="eastAsia" w:ascii="Times New Roman" w:hAnsi="Times New Roman" w:eastAsia="宋体"/>
                <w:color w:val="000000"/>
                <w:szCs w:val="21"/>
                <w:highlight w:val="none"/>
                <w:u w:val="single"/>
                <w:lang w:val="en-US" w:eastAsia="zh-CN"/>
              </w:rPr>
              <w:t>0.</w:t>
            </w:r>
            <w:r>
              <w:rPr>
                <w:rFonts w:hint="eastAsia"/>
                <w:color w:val="000000"/>
                <w:szCs w:val="21"/>
                <w:highlight w:val="none"/>
                <w:u w:val="single"/>
                <w:lang w:val="en-US" w:eastAsia="zh-CN"/>
              </w:rPr>
              <w:t>1</w:t>
            </w:r>
          </w:p>
        </w:tc>
        <w:tc>
          <w:tcPr>
            <w:tcW w:w="1185" w:type="dxa"/>
            <w:vAlign w:val="center"/>
          </w:tcPr>
          <w:p w14:paraId="16C369D6">
            <w:pPr>
              <w:spacing w:line="360" w:lineRule="auto"/>
              <w:jc w:val="center"/>
              <w:outlineLvl w:val="0"/>
              <w:rPr>
                <w:rFonts w:hint="default" w:ascii="Times New Roman" w:hAnsi="Times New Roman" w:eastAsia="宋体"/>
                <w:color w:val="000000"/>
                <w:szCs w:val="21"/>
                <w:highlight w:val="none"/>
                <w:u w:val="single"/>
                <w:lang w:val="en-US" w:eastAsia="zh-CN"/>
              </w:rPr>
            </w:pPr>
            <w:r>
              <w:rPr>
                <w:rFonts w:hint="eastAsia"/>
                <w:color w:val="000000"/>
                <w:szCs w:val="21"/>
                <w:highlight w:val="none"/>
                <w:u w:val="single"/>
                <w:lang w:val="en-US" w:eastAsia="zh-CN"/>
              </w:rPr>
              <w:t>0.05</w:t>
            </w:r>
          </w:p>
        </w:tc>
        <w:tc>
          <w:tcPr>
            <w:tcW w:w="1185" w:type="dxa"/>
            <w:vAlign w:val="center"/>
          </w:tcPr>
          <w:p w14:paraId="2B839E1D">
            <w:pPr>
              <w:spacing w:line="360" w:lineRule="auto"/>
              <w:jc w:val="center"/>
              <w:outlineLvl w:val="0"/>
              <w:rPr>
                <w:rFonts w:hint="default" w:ascii="Times New Roman" w:hAnsi="Times New Roman" w:eastAsia="宋体"/>
                <w:color w:val="000000"/>
                <w:szCs w:val="21"/>
                <w:highlight w:val="none"/>
                <w:u w:val="single"/>
                <w:lang w:val="en-US" w:eastAsia="zh-CN"/>
              </w:rPr>
            </w:pPr>
            <w:r>
              <w:rPr>
                <w:rFonts w:hint="eastAsia" w:ascii="Times New Roman" w:hAnsi="Times New Roman" w:eastAsia="宋体"/>
                <w:color w:val="000000"/>
                <w:szCs w:val="21"/>
                <w:highlight w:val="none"/>
                <w:u w:val="single"/>
                <w:lang w:val="en-US" w:eastAsia="zh-CN"/>
              </w:rPr>
              <w:t>0.0</w:t>
            </w:r>
            <w:r>
              <w:rPr>
                <w:rFonts w:hint="eastAsia"/>
                <w:color w:val="000000"/>
                <w:szCs w:val="21"/>
                <w:highlight w:val="none"/>
                <w:u w:val="single"/>
                <w:lang w:val="en-US" w:eastAsia="zh-CN"/>
              </w:rPr>
              <w:t>3</w:t>
            </w:r>
          </w:p>
        </w:tc>
        <w:tc>
          <w:tcPr>
            <w:tcW w:w="1185" w:type="dxa"/>
            <w:vAlign w:val="center"/>
          </w:tcPr>
          <w:p w14:paraId="3BCA64AC">
            <w:pPr>
              <w:spacing w:line="360" w:lineRule="auto"/>
              <w:jc w:val="center"/>
              <w:outlineLvl w:val="0"/>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＜4</w:t>
            </w:r>
            <w:r>
              <w:rPr>
                <w:rFonts w:ascii="Times New Roman" w:hAnsi="Times New Roman" w:eastAsia="宋体"/>
                <w:color w:val="000000"/>
                <w:szCs w:val="21"/>
                <w:highlight w:val="none"/>
                <w:u w:val="single"/>
              </w:rPr>
              <w:t>0</w:t>
            </w:r>
            <w:r>
              <w:rPr>
                <w:rFonts w:hint="eastAsia" w:ascii="Times New Roman" w:hAnsi="Times New Roman" w:eastAsia="宋体"/>
                <w:color w:val="000000"/>
                <w:szCs w:val="21"/>
                <w:highlight w:val="none"/>
                <w:u w:val="single"/>
              </w:rPr>
              <w:t>S</w:t>
            </w:r>
          </w:p>
        </w:tc>
        <w:tc>
          <w:tcPr>
            <w:tcW w:w="1441" w:type="dxa"/>
            <w:vAlign w:val="center"/>
          </w:tcPr>
          <w:p w14:paraId="0B5A5707">
            <w:pPr>
              <w:spacing w:line="360" w:lineRule="auto"/>
              <w:jc w:val="center"/>
              <w:outlineLvl w:val="0"/>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DN</w:t>
            </w:r>
            <w:r>
              <w:rPr>
                <w:rFonts w:hint="eastAsia" w:ascii="Times New Roman" w:hAnsi="Times New Roman" w:eastAsia="宋体"/>
                <w:color w:val="000000"/>
                <w:szCs w:val="21"/>
                <w:highlight w:val="none"/>
                <w:u w:val="single"/>
                <w:lang w:val="en-US" w:eastAsia="zh-CN"/>
              </w:rPr>
              <w:t>25</w:t>
            </w:r>
            <w:r>
              <w:rPr>
                <w:rFonts w:ascii="Times New Roman" w:hAnsi="Times New Roman" w:eastAsia="宋体"/>
                <w:color w:val="000000"/>
                <w:szCs w:val="21"/>
                <w:highlight w:val="none"/>
                <w:u w:val="single"/>
              </w:rPr>
              <w:t xml:space="preserve">0 </w:t>
            </w:r>
            <w:r>
              <w:rPr>
                <w:rFonts w:hint="eastAsia" w:ascii="Times New Roman" w:hAnsi="Times New Roman" w:eastAsia="宋体"/>
                <w:color w:val="000000"/>
                <w:szCs w:val="21"/>
                <w:highlight w:val="none"/>
                <w:u w:val="single"/>
              </w:rPr>
              <w:t>PN</w:t>
            </w:r>
            <w:r>
              <w:rPr>
                <w:rFonts w:ascii="Times New Roman" w:hAnsi="Times New Roman" w:eastAsia="宋体"/>
                <w:color w:val="000000"/>
                <w:szCs w:val="21"/>
                <w:highlight w:val="none"/>
                <w:u w:val="single"/>
              </w:rPr>
              <w:t>16</w:t>
            </w:r>
          </w:p>
        </w:tc>
        <w:tc>
          <w:tcPr>
            <w:tcW w:w="2263" w:type="dxa"/>
            <w:vAlign w:val="center"/>
          </w:tcPr>
          <w:p w14:paraId="194EF56D">
            <w:pPr>
              <w:spacing w:line="360" w:lineRule="auto"/>
              <w:jc w:val="center"/>
              <w:outlineLvl w:val="0"/>
              <w:rPr>
                <w:rFonts w:ascii="Times New Roman" w:hAnsi="Times New Roman" w:eastAsia="宋体"/>
                <w:color w:val="000000"/>
                <w:szCs w:val="21"/>
                <w:highlight w:val="none"/>
                <w:u w:val="single"/>
              </w:rPr>
            </w:pPr>
            <w:r>
              <w:rPr>
                <w:rFonts w:hint="eastAsia" w:ascii="Times New Roman" w:hAnsi="Times New Roman" w:eastAsia="宋体"/>
                <w:color w:val="000000"/>
                <w:szCs w:val="21"/>
                <w:highlight w:val="none"/>
                <w:u w:val="single"/>
              </w:rPr>
              <w:t>带ESD紧急切断功能和开关阀位显示功能</w:t>
            </w:r>
          </w:p>
        </w:tc>
      </w:tr>
    </w:tbl>
    <w:p w14:paraId="70E030BE">
      <w:pPr>
        <w:spacing w:line="360" w:lineRule="auto"/>
        <w:ind w:firstLine="480"/>
        <w:outlineLvl w:val="0"/>
        <w:rPr>
          <w:rFonts w:ascii="Times New Roman" w:hAnsi="Times New Roman" w:eastAsia="宋体"/>
          <w:bCs/>
          <w:sz w:val="24"/>
          <w:highlight w:val="none"/>
          <w:shd w:val="clear" w:color="auto" w:fill="FFFFFF"/>
        </w:rPr>
      </w:pPr>
    </w:p>
    <w:p w14:paraId="0A7C67EA">
      <w:pPr>
        <w:pStyle w:val="27"/>
        <w:numPr>
          <w:ilvl w:val="0"/>
          <w:numId w:val="2"/>
        </w:numPr>
        <w:snapToGrid w:val="0"/>
        <w:spacing w:line="360" w:lineRule="auto"/>
        <w:ind w:firstLineChars="0"/>
        <w:rPr>
          <w:rFonts w:ascii="Times New Roman" w:hAnsi="Times New Roman" w:eastAsia="宋体" w:cs="Arial"/>
          <w:kern w:val="0"/>
          <w:sz w:val="24"/>
          <w:highlight w:val="none"/>
        </w:rPr>
      </w:pPr>
      <w:r>
        <w:rPr>
          <w:rFonts w:ascii="Times New Roman" w:hAnsi="Times New Roman" w:eastAsia="宋体" w:cs="Arial"/>
          <w:kern w:val="0"/>
          <w:sz w:val="24"/>
          <w:highlight w:val="none"/>
        </w:rPr>
        <w:t>电动执行机构应为开关型。</w:t>
      </w:r>
    </w:p>
    <w:p w14:paraId="48D854BB">
      <w:pPr>
        <w:snapToGrid w:val="0"/>
        <w:spacing w:line="360" w:lineRule="auto"/>
        <w:ind w:firstLine="480" w:firstLineChars="200"/>
        <w:rPr>
          <w:rFonts w:ascii="Times New Roman" w:hAnsi="Times New Roman" w:eastAsia="宋体" w:cs="Arial"/>
          <w:kern w:val="0"/>
          <w:sz w:val="24"/>
          <w:highlight w:val="none"/>
        </w:rPr>
      </w:pPr>
      <w:r>
        <w:rPr>
          <w:rFonts w:hint="eastAsia" w:ascii="Times New Roman" w:hAnsi="Times New Roman" w:eastAsia="宋体" w:cs="Arial"/>
          <w:kern w:val="0"/>
          <w:sz w:val="24"/>
          <w:highlight w:val="none"/>
        </w:rPr>
        <w:t>（3）</w:t>
      </w:r>
      <w:r>
        <w:rPr>
          <w:rFonts w:ascii="Times New Roman" w:hAnsi="Times New Roman" w:eastAsia="宋体" w:cs="Arial"/>
          <w:kern w:val="0"/>
          <w:sz w:val="24"/>
          <w:highlight w:val="none"/>
        </w:rPr>
        <w:t>电动执行机构的选型应能满足最恶劣操作条件下的阀门运行要求，并且电动执行机构的额定输出扭矩应具有不小于1.25倍的安全系数。</w:t>
      </w:r>
    </w:p>
    <w:p w14:paraId="6A94063C">
      <w:pPr>
        <w:snapToGrid w:val="0"/>
        <w:spacing w:line="360" w:lineRule="auto"/>
        <w:ind w:firstLine="480" w:firstLineChars="200"/>
        <w:rPr>
          <w:rFonts w:ascii="Times New Roman" w:hAnsi="Times New Roman" w:eastAsia="宋体" w:cs="Arial"/>
          <w:kern w:val="0"/>
          <w:sz w:val="24"/>
          <w:highlight w:val="none"/>
        </w:rPr>
      </w:pPr>
      <w:r>
        <w:rPr>
          <w:rFonts w:hint="eastAsia" w:ascii="Times New Roman" w:hAnsi="Times New Roman" w:eastAsia="宋体" w:cs="Arial"/>
          <w:kern w:val="0"/>
          <w:sz w:val="24"/>
          <w:highlight w:val="none"/>
        </w:rPr>
        <w:t>（4）</w:t>
      </w:r>
      <w:r>
        <w:rPr>
          <w:rFonts w:ascii="Times New Roman" w:hAnsi="Times New Roman" w:eastAsia="宋体" w:cs="Arial"/>
          <w:kern w:val="0"/>
          <w:sz w:val="24"/>
          <w:highlight w:val="none"/>
        </w:rPr>
        <w:t>电动执行机构的阀位指示应为连续指示，递增量为1％。执行机构在外部电源断电时仍然可以就地显示阀位及相关报警，并可实时反映因就地手轮操作而使阀位发生的变化。</w:t>
      </w:r>
    </w:p>
    <w:p w14:paraId="755FF496">
      <w:pPr>
        <w:snapToGrid w:val="0"/>
        <w:spacing w:line="360" w:lineRule="auto"/>
        <w:ind w:firstLine="480" w:firstLineChars="200"/>
        <w:rPr>
          <w:rFonts w:ascii="Times New Roman" w:hAnsi="Times New Roman" w:eastAsia="宋体" w:cs="Arial"/>
          <w:kern w:val="0"/>
          <w:sz w:val="24"/>
          <w:highlight w:val="none"/>
        </w:rPr>
      </w:pPr>
      <w:r>
        <w:rPr>
          <w:rFonts w:hint="eastAsia" w:ascii="Times New Roman" w:hAnsi="Times New Roman" w:eastAsia="宋体" w:cs="Arial"/>
          <w:kern w:val="0"/>
          <w:sz w:val="24"/>
          <w:highlight w:val="none"/>
        </w:rPr>
        <w:t>（5）</w:t>
      </w:r>
      <w:r>
        <w:rPr>
          <w:rFonts w:ascii="Times New Roman" w:hAnsi="Times New Roman" w:eastAsia="宋体" w:cs="Arial"/>
          <w:kern w:val="0"/>
          <w:sz w:val="24"/>
          <w:highlight w:val="none"/>
        </w:rPr>
        <w:t>电动执行机构的防爆/防护等级不低于Exd IIBT4/IP6</w:t>
      </w:r>
      <w:r>
        <w:rPr>
          <w:rFonts w:hint="eastAsia" w:ascii="Times New Roman" w:hAnsi="Times New Roman" w:eastAsia="宋体" w:cs="Arial"/>
          <w:kern w:val="0"/>
          <w:sz w:val="24"/>
          <w:highlight w:val="none"/>
        </w:rPr>
        <w:t>5</w:t>
      </w:r>
      <w:r>
        <w:rPr>
          <w:rFonts w:ascii="Times New Roman" w:hAnsi="Times New Roman" w:eastAsia="宋体" w:cs="Arial"/>
          <w:kern w:val="0"/>
          <w:sz w:val="24"/>
          <w:highlight w:val="none"/>
        </w:rPr>
        <w:t>。</w:t>
      </w:r>
    </w:p>
    <w:p w14:paraId="5B0B94D2">
      <w:pPr>
        <w:snapToGrid w:val="0"/>
        <w:spacing w:line="360" w:lineRule="auto"/>
        <w:ind w:firstLine="480" w:firstLineChars="200"/>
        <w:rPr>
          <w:rFonts w:ascii="Times New Roman" w:hAnsi="Times New Roman" w:eastAsia="宋体" w:cs="Arial"/>
          <w:kern w:val="0"/>
          <w:sz w:val="24"/>
          <w:highlight w:val="none"/>
        </w:rPr>
      </w:pPr>
      <w:r>
        <w:rPr>
          <w:rFonts w:hint="eastAsia" w:ascii="Times New Roman" w:hAnsi="Times New Roman" w:eastAsia="宋体" w:cs="Arial"/>
          <w:kern w:val="0"/>
          <w:sz w:val="24"/>
          <w:highlight w:val="none"/>
        </w:rPr>
        <w:t>（</w:t>
      </w:r>
      <w:r>
        <w:rPr>
          <w:rFonts w:hint="eastAsia" w:ascii="Times New Roman" w:hAnsi="Times New Roman" w:eastAsia="宋体"/>
          <w:sz w:val="24"/>
          <w:highlight w:val="none"/>
        </w:rPr>
        <w:t>6）</w:t>
      </w:r>
      <w:r>
        <w:rPr>
          <w:rFonts w:ascii="Times New Roman" w:hAnsi="Times New Roman" w:eastAsia="宋体"/>
          <w:sz w:val="24"/>
          <w:highlight w:val="none"/>
        </w:rPr>
        <w:t>供货商确保所提供的电动执行机构的正常使用寿命不低于30年。</w:t>
      </w:r>
    </w:p>
    <w:p w14:paraId="5EC16A3E">
      <w:pPr>
        <w:spacing w:line="360" w:lineRule="auto"/>
        <w:ind w:firstLine="480" w:firstLineChars="200"/>
        <w:rPr>
          <w:rFonts w:ascii="Times New Roman" w:hAnsi="Times New Roman" w:eastAsia="宋体" w:cs="Arial"/>
          <w:kern w:val="0"/>
          <w:sz w:val="24"/>
          <w:highlight w:val="none"/>
        </w:rPr>
      </w:pPr>
      <w:r>
        <w:rPr>
          <w:rFonts w:hint="eastAsia" w:ascii="Times New Roman" w:hAnsi="Times New Roman" w:eastAsia="宋体" w:cs="Arial"/>
          <w:kern w:val="0"/>
          <w:sz w:val="24"/>
          <w:highlight w:val="none"/>
        </w:rPr>
        <w:t>（7）</w:t>
      </w:r>
      <w:r>
        <w:rPr>
          <w:rFonts w:ascii="Times New Roman" w:hAnsi="Times New Roman" w:eastAsia="宋体" w:cs="Arial"/>
          <w:kern w:val="0"/>
          <w:sz w:val="24"/>
          <w:highlight w:val="none"/>
        </w:rPr>
        <w:t>执行机构应包括电机、齿轮减速器、联轴器、限位开关、扭矩限制开关、手轮、手轮自动断开装置、就地阀位显示以及安全平稳运行所需的其它部件。执行机构整体组装应该是密闭的，独立的且适合于户外操作。</w:t>
      </w:r>
    </w:p>
    <w:p w14:paraId="10269991">
      <w:pPr>
        <w:spacing w:line="360" w:lineRule="auto"/>
        <w:ind w:firstLine="480" w:firstLineChars="200"/>
        <w:rPr>
          <w:rFonts w:ascii="Times New Roman" w:hAnsi="Times New Roman" w:eastAsia="宋体" w:cs="Arial"/>
          <w:kern w:val="0"/>
          <w:sz w:val="24"/>
          <w:highlight w:val="none"/>
        </w:rPr>
      </w:pPr>
    </w:p>
    <w:p w14:paraId="5DBA6E9F">
      <w:pPr>
        <w:spacing w:line="360" w:lineRule="auto"/>
        <w:ind w:firstLine="200"/>
        <w:outlineLvl w:val="0"/>
        <w:rPr>
          <w:rFonts w:ascii="Times New Roman" w:hAnsi="Times New Roman" w:eastAsia="宋体"/>
          <w:b/>
          <w:bCs/>
          <w:sz w:val="24"/>
          <w:highlight w:val="none"/>
        </w:rPr>
      </w:pPr>
      <w:r>
        <w:rPr>
          <w:rFonts w:hint="eastAsia"/>
          <w:b/>
          <w:bCs/>
          <w:sz w:val="24"/>
          <w:highlight w:val="none"/>
          <w:lang w:val="en-US" w:eastAsia="zh-CN"/>
        </w:rPr>
        <w:t>8</w:t>
      </w:r>
      <w:r>
        <w:rPr>
          <w:rFonts w:hint="eastAsia" w:ascii="Times New Roman" w:hAnsi="Times New Roman" w:eastAsia="宋体"/>
          <w:b/>
          <w:bCs/>
          <w:sz w:val="24"/>
          <w:highlight w:val="none"/>
        </w:rPr>
        <w:t>、现场仪表及变送仪表</w:t>
      </w:r>
    </w:p>
    <w:p w14:paraId="6616FC43">
      <w:pPr>
        <w:spacing w:line="360" w:lineRule="auto"/>
        <w:ind w:firstLine="480" w:firstLineChars="200"/>
        <w:outlineLvl w:val="0"/>
        <w:rPr>
          <w:rFonts w:ascii="Times New Roman" w:hAnsi="Times New Roman" w:eastAsia="宋体"/>
          <w:sz w:val="24"/>
          <w:highlight w:val="none"/>
        </w:rPr>
      </w:pPr>
      <w:r>
        <w:rPr>
          <w:rFonts w:hint="eastAsia" w:ascii="Times New Roman" w:hAnsi="Times New Roman" w:eastAsia="宋体"/>
          <w:sz w:val="24"/>
          <w:highlight w:val="none"/>
        </w:rPr>
        <w:t>（1）</w:t>
      </w:r>
      <w:r>
        <w:rPr>
          <w:rFonts w:ascii="Times New Roman" w:hAnsi="Times New Roman" w:eastAsia="宋体"/>
          <w:sz w:val="24"/>
          <w:highlight w:val="none"/>
        </w:rPr>
        <w:t>防爆一体化温度变送器：</w:t>
      </w:r>
    </w:p>
    <w:p w14:paraId="61EBEFBE">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工作形式：二线制</w:t>
      </w:r>
    </w:p>
    <w:p w14:paraId="7ED984D9">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供电电压：13～30V，DC</w:t>
      </w:r>
    </w:p>
    <w:p w14:paraId="3D854063">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负载电阻：0～850Ω</w:t>
      </w:r>
    </w:p>
    <w:p w14:paraId="4DE2E959">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输出信号：4～20mA</w:t>
      </w:r>
    </w:p>
    <w:p w14:paraId="22F67266">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基本误差：±0.2%，±0.5%</w:t>
      </w:r>
    </w:p>
    <w:p w14:paraId="61EA24DC">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显示方式：液晶显示</w:t>
      </w:r>
    </w:p>
    <w:p w14:paraId="4590A16A">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使用环境温度：-</w:t>
      </w:r>
      <w:r>
        <w:rPr>
          <w:rFonts w:hint="eastAsia" w:ascii="Times New Roman" w:hAnsi="Times New Roman" w:eastAsia="宋体"/>
          <w:sz w:val="24"/>
          <w:highlight w:val="none"/>
          <w:lang w:val="en-US" w:eastAsia="zh-CN"/>
        </w:rPr>
        <w:t>4</w:t>
      </w:r>
      <w:r>
        <w:rPr>
          <w:rFonts w:ascii="Times New Roman" w:hAnsi="Times New Roman" w:eastAsia="宋体"/>
          <w:sz w:val="24"/>
          <w:highlight w:val="none"/>
        </w:rPr>
        <w:t>0～</w:t>
      </w:r>
      <w:r>
        <w:rPr>
          <w:rFonts w:hint="eastAsia" w:ascii="Times New Roman" w:hAnsi="Times New Roman" w:eastAsia="宋体"/>
          <w:sz w:val="24"/>
          <w:highlight w:val="none"/>
          <w:lang w:val="en-US" w:eastAsia="zh-CN"/>
        </w:rPr>
        <w:t>5</w:t>
      </w:r>
      <w:r>
        <w:rPr>
          <w:rFonts w:ascii="Times New Roman" w:hAnsi="Times New Roman" w:eastAsia="宋体"/>
          <w:sz w:val="24"/>
          <w:highlight w:val="none"/>
        </w:rPr>
        <w:t>0℃</w:t>
      </w:r>
    </w:p>
    <w:p w14:paraId="01EB3861">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环境温度影响：0.25%/10℃</w:t>
      </w:r>
    </w:p>
    <w:p w14:paraId="78AE860C">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冷端补偿误差：0.5%/10℃</w:t>
      </w:r>
    </w:p>
    <w:p w14:paraId="6AFFDF1B">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防爆标志：ExdⅡ</w:t>
      </w:r>
      <w:r>
        <w:rPr>
          <w:rFonts w:hint="eastAsia" w:ascii="Times New Roman" w:hAnsi="Times New Roman" w:eastAsia="宋体"/>
          <w:sz w:val="24"/>
          <w:highlight w:val="none"/>
        </w:rPr>
        <w:t>BT</w:t>
      </w:r>
      <w:r>
        <w:rPr>
          <w:rFonts w:ascii="Times New Roman" w:hAnsi="Times New Roman" w:eastAsia="宋体"/>
          <w:sz w:val="24"/>
          <w:highlight w:val="none"/>
        </w:rPr>
        <w:t>4</w:t>
      </w:r>
    </w:p>
    <w:p w14:paraId="33A61A09">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防护等级：IP65</w:t>
      </w:r>
    </w:p>
    <w:p w14:paraId="03C68541">
      <w:pPr>
        <w:spacing w:line="360" w:lineRule="auto"/>
        <w:ind w:firstLine="200"/>
        <w:rPr>
          <w:rFonts w:ascii="Times New Roman" w:hAnsi="Times New Roman" w:eastAsia="宋体"/>
          <w:sz w:val="24"/>
          <w:highlight w:val="none"/>
        </w:rPr>
      </w:pPr>
      <w:r>
        <w:rPr>
          <w:rFonts w:ascii="Times New Roman" w:hAnsi="Times New Roman" w:eastAsia="宋体"/>
          <w:sz w:val="24"/>
          <w:highlight w:val="none"/>
        </w:rPr>
        <w:t>（2）防爆智能化压力变送器</w:t>
      </w:r>
    </w:p>
    <w:p w14:paraId="531E8331">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工作形式：二线制</w:t>
      </w:r>
    </w:p>
    <w:p w14:paraId="2864AA49">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测量精度：0.075%设定量程</w:t>
      </w:r>
    </w:p>
    <w:p w14:paraId="3C4D94BF">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环境温度：-</w:t>
      </w:r>
      <w:r>
        <w:rPr>
          <w:rFonts w:hint="eastAsia" w:ascii="Times New Roman" w:hAnsi="Times New Roman" w:eastAsia="宋体"/>
          <w:sz w:val="24"/>
          <w:highlight w:val="none"/>
          <w:lang w:val="en-US" w:eastAsia="zh-CN"/>
        </w:rPr>
        <w:t>4</w:t>
      </w:r>
      <w:r>
        <w:rPr>
          <w:rFonts w:ascii="Times New Roman" w:hAnsi="Times New Roman" w:eastAsia="宋体"/>
          <w:sz w:val="24"/>
          <w:highlight w:val="none"/>
        </w:rPr>
        <w:t>0～</w:t>
      </w:r>
      <w:r>
        <w:rPr>
          <w:rFonts w:hint="eastAsia" w:ascii="Times New Roman" w:hAnsi="Times New Roman" w:eastAsia="宋体"/>
          <w:sz w:val="24"/>
          <w:highlight w:val="none"/>
          <w:lang w:val="en-US" w:eastAsia="zh-CN"/>
        </w:rPr>
        <w:t>5</w:t>
      </w:r>
      <w:r>
        <w:rPr>
          <w:rFonts w:ascii="Times New Roman" w:hAnsi="Times New Roman" w:eastAsia="宋体"/>
          <w:sz w:val="24"/>
          <w:highlight w:val="none"/>
        </w:rPr>
        <w:t>0℃</w:t>
      </w:r>
    </w:p>
    <w:p w14:paraId="13FEE964">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稳定性：十二个月0.1%</w:t>
      </w:r>
    </w:p>
    <w:p w14:paraId="0B03E3F5">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量程比：10：1</w:t>
      </w:r>
    </w:p>
    <w:p w14:paraId="73E0AB37">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零点迁移：满量程90%</w:t>
      </w:r>
    </w:p>
    <w:p w14:paraId="67F2EBFA">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防护等级：IP6</w:t>
      </w:r>
      <w:r>
        <w:rPr>
          <w:rFonts w:hint="eastAsia" w:ascii="Times New Roman" w:hAnsi="Times New Roman" w:eastAsia="宋体"/>
          <w:sz w:val="24"/>
          <w:highlight w:val="none"/>
        </w:rPr>
        <w:t>5</w:t>
      </w:r>
    </w:p>
    <w:p w14:paraId="2AEED07C">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显示方式：液晶显示</w:t>
      </w:r>
    </w:p>
    <w:p w14:paraId="6B5B3A75">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线性度：&gt;=0.1%</w:t>
      </w:r>
    </w:p>
    <w:p w14:paraId="7A9C5697">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隔离输出信号：4～20mA带HART协议</w:t>
      </w:r>
    </w:p>
    <w:p w14:paraId="57A6D909">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电源：10.5～45VDC</w:t>
      </w:r>
    </w:p>
    <w:p w14:paraId="536B0029">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防爆标志：</w:t>
      </w:r>
      <w:r>
        <w:rPr>
          <w:rFonts w:hint="eastAsia" w:ascii="Times New Roman" w:hAnsi="Times New Roman" w:eastAsia="宋体"/>
          <w:sz w:val="24"/>
          <w:highlight w:val="none"/>
        </w:rPr>
        <w:t>E</w:t>
      </w:r>
      <w:r>
        <w:rPr>
          <w:rFonts w:ascii="Times New Roman" w:hAnsi="Times New Roman" w:eastAsia="宋体"/>
          <w:sz w:val="24"/>
          <w:highlight w:val="none"/>
        </w:rPr>
        <w:t>xdⅡ</w:t>
      </w:r>
      <w:r>
        <w:rPr>
          <w:rFonts w:hint="eastAsia" w:ascii="Times New Roman" w:hAnsi="Times New Roman" w:eastAsia="宋体"/>
          <w:sz w:val="24"/>
          <w:highlight w:val="none"/>
        </w:rPr>
        <w:t>BT</w:t>
      </w:r>
      <w:r>
        <w:rPr>
          <w:rFonts w:ascii="Times New Roman" w:hAnsi="Times New Roman" w:eastAsia="宋体"/>
          <w:sz w:val="24"/>
          <w:highlight w:val="none"/>
        </w:rPr>
        <w:t>4</w:t>
      </w:r>
    </w:p>
    <w:p w14:paraId="2B572F59">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防护等级：IP6</w:t>
      </w:r>
      <w:r>
        <w:rPr>
          <w:rFonts w:hint="eastAsia" w:ascii="Times New Roman" w:hAnsi="Times New Roman" w:eastAsia="宋体"/>
          <w:sz w:val="24"/>
          <w:highlight w:val="none"/>
        </w:rPr>
        <w:t>5</w:t>
      </w:r>
    </w:p>
    <w:p w14:paraId="698536CD">
      <w:pPr>
        <w:spacing w:line="360" w:lineRule="auto"/>
        <w:ind w:firstLine="200"/>
        <w:rPr>
          <w:rFonts w:ascii="Times New Roman" w:hAnsi="Times New Roman" w:eastAsia="宋体"/>
          <w:sz w:val="24"/>
          <w:highlight w:val="none"/>
        </w:rPr>
      </w:pPr>
      <w:r>
        <w:rPr>
          <w:rFonts w:ascii="Times New Roman" w:hAnsi="Times New Roman" w:eastAsia="宋体"/>
          <w:sz w:val="24"/>
          <w:highlight w:val="none"/>
        </w:rPr>
        <w:t>（3）防爆智能化压差变送器</w:t>
      </w:r>
    </w:p>
    <w:p w14:paraId="4E424BD9">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隔离输出：4-20mA带HART协议</w:t>
      </w:r>
    </w:p>
    <w:p w14:paraId="39DAA30B">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精度：±0.075%</w:t>
      </w:r>
    </w:p>
    <w:p w14:paraId="081B06A1">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稳定性：±1%/年</w:t>
      </w:r>
    </w:p>
    <w:p w14:paraId="1878955F">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过压：300%</w:t>
      </w:r>
    </w:p>
    <w:p w14:paraId="34E37D4B">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环境温度：-</w:t>
      </w:r>
      <w:r>
        <w:rPr>
          <w:rFonts w:hint="eastAsia" w:ascii="Times New Roman" w:hAnsi="Times New Roman" w:eastAsia="宋体"/>
          <w:sz w:val="24"/>
          <w:highlight w:val="none"/>
          <w:lang w:val="en-US" w:eastAsia="zh-CN"/>
        </w:rPr>
        <w:t>4</w:t>
      </w:r>
      <w:r>
        <w:rPr>
          <w:rFonts w:ascii="Times New Roman" w:hAnsi="Times New Roman" w:eastAsia="宋体"/>
          <w:sz w:val="24"/>
          <w:highlight w:val="none"/>
        </w:rPr>
        <w:t>0～</w:t>
      </w:r>
      <w:r>
        <w:rPr>
          <w:rFonts w:hint="eastAsia" w:ascii="Times New Roman" w:hAnsi="Times New Roman" w:eastAsia="宋体"/>
          <w:sz w:val="24"/>
          <w:highlight w:val="none"/>
          <w:lang w:val="en-US" w:eastAsia="zh-CN"/>
        </w:rPr>
        <w:t>5</w:t>
      </w:r>
      <w:r>
        <w:rPr>
          <w:rFonts w:ascii="Times New Roman" w:hAnsi="Times New Roman" w:eastAsia="宋体"/>
          <w:sz w:val="24"/>
          <w:highlight w:val="none"/>
        </w:rPr>
        <w:t>0℃</w:t>
      </w:r>
    </w:p>
    <w:p w14:paraId="0E64F9BC">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电源：12-30VDC</w:t>
      </w:r>
    </w:p>
    <w:p w14:paraId="28ED67B8">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认证：CSA</w:t>
      </w:r>
    </w:p>
    <w:p w14:paraId="731A5122">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防爆标志：</w:t>
      </w:r>
      <w:r>
        <w:rPr>
          <w:rFonts w:hint="eastAsia" w:ascii="Times New Roman" w:hAnsi="Times New Roman" w:eastAsia="宋体"/>
          <w:sz w:val="24"/>
          <w:highlight w:val="none"/>
        </w:rPr>
        <w:t>E</w:t>
      </w:r>
      <w:r>
        <w:rPr>
          <w:rFonts w:ascii="Times New Roman" w:hAnsi="Times New Roman" w:eastAsia="宋体"/>
          <w:sz w:val="24"/>
          <w:highlight w:val="none"/>
        </w:rPr>
        <w:t>xdⅡ</w:t>
      </w:r>
      <w:r>
        <w:rPr>
          <w:rFonts w:hint="eastAsia" w:ascii="Times New Roman" w:hAnsi="Times New Roman" w:eastAsia="宋体"/>
          <w:sz w:val="24"/>
          <w:highlight w:val="none"/>
        </w:rPr>
        <w:t>BT</w:t>
      </w:r>
      <w:r>
        <w:rPr>
          <w:rFonts w:ascii="Times New Roman" w:hAnsi="Times New Roman" w:eastAsia="宋体"/>
          <w:sz w:val="24"/>
          <w:highlight w:val="none"/>
        </w:rPr>
        <w:t>4</w:t>
      </w:r>
    </w:p>
    <w:p w14:paraId="0DE34E91">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防护等级：IP6</w:t>
      </w:r>
      <w:r>
        <w:rPr>
          <w:rFonts w:hint="eastAsia" w:ascii="Times New Roman" w:hAnsi="Times New Roman" w:eastAsia="宋体"/>
          <w:sz w:val="24"/>
          <w:highlight w:val="none"/>
        </w:rPr>
        <w:t>5</w:t>
      </w:r>
    </w:p>
    <w:p w14:paraId="29287698">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（4）压力表：</w:t>
      </w:r>
    </w:p>
    <w:p w14:paraId="0DFA6E2A">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设备中配备的压力表为不锈钢耐酸、耐震专用表。</w:t>
      </w:r>
    </w:p>
    <w:p w14:paraId="0EAE2FAE">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测量系统：铜合金传动</w:t>
      </w:r>
    </w:p>
    <w:p w14:paraId="58F58D4C">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机芯：铜合金</w:t>
      </w:r>
    </w:p>
    <w:p w14:paraId="555E8776">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表壳：不锈钢，带泄压</w:t>
      </w:r>
    </w:p>
    <w:p w14:paraId="2773090C">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镶嵌环：不锈钢</w:t>
      </w:r>
    </w:p>
    <w:p w14:paraId="73569CCC">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表玻璃：有机仪表玻璃</w:t>
      </w:r>
    </w:p>
    <w:p w14:paraId="23513AEC">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防护等级：IP65</w:t>
      </w:r>
    </w:p>
    <w:p w14:paraId="4CEFD7C4">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精度等级：1.6</w:t>
      </w:r>
    </w:p>
    <w:p w14:paraId="5C8E7790">
      <w:pPr>
        <w:spacing w:line="360" w:lineRule="auto"/>
        <w:ind w:firstLine="480" w:firstLineChars="200"/>
        <w:rPr>
          <w:rFonts w:ascii="Times New Roman" w:hAnsi="Times New Roman" w:eastAsia="宋体"/>
          <w:sz w:val="24"/>
          <w:highlight w:val="none"/>
        </w:rPr>
      </w:pPr>
      <w:r>
        <w:rPr>
          <w:rFonts w:ascii="Times New Roman" w:hAnsi="Times New Roman" w:eastAsia="宋体"/>
          <w:sz w:val="24"/>
          <w:highlight w:val="none"/>
        </w:rPr>
        <w:t>过程连接：</w:t>
      </w:r>
      <w:r>
        <w:rPr>
          <w:rFonts w:hint="eastAsia" w:ascii="Times New Roman" w:hAnsi="Times New Roman" w:eastAsia="宋体"/>
          <w:sz w:val="24"/>
          <w:highlight w:val="none"/>
        </w:rPr>
        <w:t>1/2</w:t>
      </w:r>
      <w:r>
        <w:rPr>
          <w:rFonts w:ascii="Times New Roman" w:hAnsi="Times New Roman" w:eastAsia="宋体"/>
          <w:sz w:val="24"/>
          <w:highlight w:val="none"/>
        </w:rPr>
        <w:t>”</w:t>
      </w:r>
      <w:r>
        <w:rPr>
          <w:rFonts w:hint="eastAsia" w:ascii="Times New Roman" w:hAnsi="Times New Roman" w:eastAsia="宋体"/>
          <w:sz w:val="24"/>
          <w:highlight w:val="none"/>
        </w:rPr>
        <w:t>NPT</w:t>
      </w:r>
    </w:p>
    <w:p w14:paraId="725C70F9">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（5）双金属温度计：</w:t>
      </w:r>
    </w:p>
    <w:p w14:paraId="7C810350">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可以直接测量各种生产过程中的-40℃-+</w:t>
      </w:r>
      <w:r>
        <w:rPr>
          <w:rFonts w:hint="eastAsia" w:ascii="Times New Roman" w:hAnsi="Times New Roman" w:eastAsia="宋体"/>
          <w:sz w:val="24"/>
          <w:highlight w:val="none"/>
        </w:rPr>
        <w:t>6</w:t>
      </w:r>
      <w:r>
        <w:rPr>
          <w:rFonts w:ascii="Times New Roman" w:hAnsi="Times New Roman" w:eastAsia="宋体"/>
          <w:sz w:val="24"/>
          <w:highlight w:val="none"/>
        </w:rPr>
        <w:t>0℃范围内液体蒸汽和气体介质温度，现场显示温度。</w:t>
      </w:r>
    </w:p>
    <w:p w14:paraId="1597E999">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抽芯式：可不停机短时间维护或更换机芯；</w:t>
      </w:r>
    </w:p>
    <w:p w14:paraId="2068DF90">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精度等级：</w:t>
      </w:r>
      <w:r>
        <w:rPr>
          <w:rFonts w:hint="eastAsia" w:ascii="Times New Roman" w:hAnsi="Times New Roman" w:eastAsia="宋体"/>
          <w:sz w:val="24"/>
          <w:highlight w:val="none"/>
        </w:rPr>
        <w:t>不小于1.5级；</w:t>
      </w:r>
    </w:p>
    <w:p w14:paraId="7982F2B4">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热响应时间：≤40s；</w:t>
      </w:r>
    </w:p>
    <w:p w14:paraId="40EB894E">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防护等级：IP65；</w:t>
      </w:r>
    </w:p>
    <w:p w14:paraId="21679AF3">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角度调整误差：角度调整误差应不超过其量程的1.0％；</w:t>
      </w:r>
    </w:p>
    <w:p w14:paraId="20574ACD">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回差：温度计回差应不大于基本误差限的绝对值；</w:t>
      </w:r>
    </w:p>
    <w:p w14:paraId="0A52FFF0">
      <w:pPr>
        <w:spacing w:line="360" w:lineRule="auto"/>
        <w:ind w:firstLine="360" w:firstLineChars="150"/>
        <w:rPr>
          <w:rFonts w:ascii="Times New Roman" w:hAnsi="Times New Roman" w:eastAsia="宋体"/>
          <w:sz w:val="24"/>
          <w:highlight w:val="none"/>
        </w:rPr>
      </w:pPr>
      <w:r>
        <w:rPr>
          <w:rFonts w:ascii="Times New Roman" w:hAnsi="Times New Roman" w:eastAsia="宋体"/>
          <w:sz w:val="24"/>
          <w:highlight w:val="none"/>
        </w:rPr>
        <w:t>重复性：温度计重复性极限范围切应不大于基本误差限绝对值的1/2</w:t>
      </w:r>
      <w:r>
        <w:rPr>
          <w:rFonts w:hint="eastAsia" w:ascii="Times New Roman" w:hAnsi="Times New Roman" w:eastAsia="宋体"/>
          <w:sz w:val="24"/>
          <w:highlight w:val="none"/>
        </w:rPr>
        <w:t>。</w:t>
      </w:r>
    </w:p>
    <w:p w14:paraId="74B66F74">
      <w:pPr>
        <w:spacing w:line="360" w:lineRule="auto"/>
        <w:ind w:firstLine="480"/>
        <w:outlineLvl w:val="0"/>
        <w:rPr>
          <w:rFonts w:ascii="Times New Roman" w:hAnsi="Times New Roman" w:eastAsia="宋体"/>
          <w:bCs/>
          <w:sz w:val="24"/>
          <w:highlight w:val="none"/>
          <w:shd w:val="clear" w:color="auto" w:fill="FFFFFF"/>
        </w:rPr>
      </w:pPr>
    </w:p>
    <w:p w14:paraId="05186557">
      <w:pPr>
        <w:spacing w:line="360" w:lineRule="auto"/>
        <w:outlineLvl w:val="0"/>
        <w:rPr>
          <w:rFonts w:ascii="Times New Roman" w:hAnsi="Times New Roman" w:eastAsia="宋体"/>
          <w:b/>
          <w:bCs/>
          <w:sz w:val="24"/>
          <w:highlight w:val="none"/>
          <w:shd w:val="clear" w:color="auto" w:fill="FFFFFF"/>
        </w:rPr>
      </w:pPr>
      <w:r>
        <w:rPr>
          <w:rFonts w:hint="eastAsia" w:ascii="Times New Roman" w:hAnsi="Times New Roman" w:eastAsia="宋体"/>
          <w:b/>
          <w:bCs/>
          <w:sz w:val="24"/>
          <w:highlight w:val="none"/>
          <w:shd w:val="clear" w:color="auto" w:fill="FFFFFF"/>
        </w:rPr>
        <w:t>九、制造要求</w:t>
      </w:r>
    </w:p>
    <w:p w14:paraId="119B7AB0">
      <w:pPr>
        <w:spacing w:line="360" w:lineRule="auto"/>
        <w:ind w:firstLine="480" w:firstLineChars="200"/>
        <w:jc w:val="left"/>
        <w:rPr>
          <w:rFonts w:ascii="Times New Roman" w:hAnsi="Times New Roman" w:eastAsia="宋体"/>
          <w:sz w:val="24"/>
          <w:highlight w:val="none"/>
        </w:rPr>
      </w:pPr>
      <w:r>
        <w:rPr>
          <w:rFonts w:ascii="Times New Roman" w:hAnsi="Times New Roman" w:eastAsia="宋体"/>
          <w:sz w:val="24"/>
          <w:highlight w:val="none"/>
        </w:rPr>
        <w:t>1、</w:t>
      </w:r>
      <w:r>
        <w:rPr>
          <w:rFonts w:hint="eastAsia" w:ascii="Times New Roman" w:hAnsi="Times New Roman" w:eastAsia="宋体"/>
          <w:sz w:val="24"/>
          <w:highlight w:val="none"/>
        </w:rPr>
        <w:t>设备</w:t>
      </w:r>
      <w:r>
        <w:rPr>
          <w:rFonts w:ascii="Times New Roman" w:hAnsi="Times New Roman" w:eastAsia="宋体"/>
          <w:sz w:val="24"/>
          <w:highlight w:val="none"/>
        </w:rPr>
        <w:t>由厂家</w:t>
      </w:r>
      <w:r>
        <w:rPr>
          <w:rFonts w:hint="eastAsia" w:ascii="Times New Roman" w:hAnsi="Times New Roman" w:eastAsia="宋体"/>
          <w:sz w:val="24"/>
          <w:highlight w:val="none"/>
        </w:rPr>
        <w:t>根据流程整体成撬供货，包含撬内泄漏报警、撬</w:t>
      </w:r>
      <w:r>
        <w:rPr>
          <w:rFonts w:ascii="Times New Roman" w:hAnsi="Times New Roman" w:eastAsia="宋体"/>
          <w:sz w:val="24"/>
          <w:highlight w:val="none"/>
        </w:rPr>
        <w:t>出口法兰</w:t>
      </w:r>
      <w:r>
        <w:rPr>
          <w:rFonts w:hint="eastAsia" w:ascii="Times New Roman" w:hAnsi="Times New Roman" w:eastAsia="宋体"/>
          <w:sz w:val="24"/>
          <w:highlight w:val="none"/>
        </w:rPr>
        <w:t>等，泄漏报警探头应布置合理，并能按规范要求覆盖整体设备范围。</w:t>
      </w:r>
    </w:p>
    <w:p w14:paraId="16CE110C">
      <w:pPr>
        <w:spacing w:line="360" w:lineRule="auto"/>
        <w:ind w:firstLine="480" w:firstLineChars="200"/>
        <w:jc w:val="left"/>
        <w:rPr>
          <w:rFonts w:ascii="Times New Roman" w:hAnsi="Times New Roman" w:eastAsia="宋体"/>
          <w:sz w:val="24"/>
          <w:highlight w:val="none"/>
        </w:rPr>
      </w:pPr>
      <w:r>
        <w:rPr>
          <w:rFonts w:hint="eastAsia" w:ascii="Times New Roman" w:hAnsi="Times New Roman" w:eastAsia="宋体"/>
          <w:sz w:val="24"/>
          <w:highlight w:val="none"/>
        </w:rPr>
        <w:t>2</w:t>
      </w:r>
      <w:r>
        <w:rPr>
          <w:rFonts w:ascii="Times New Roman" w:hAnsi="Times New Roman" w:eastAsia="宋体"/>
          <w:sz w:val="24"/>
          <w:highlight w:val="none"/>
        </w:rPr>
        <w:t>、</w:t>
      </w:r>
      <w:r>
        <w:rPr>
          <w:rFonts w:hint="eastAsia" w:ascii="Times New Roman" w:hAnsi="Times New Roman" w:eastAsia="宋体"/>
          <w:sz w:val="24"/>
          <w:highlight w:val="none"/>
        </w:rPr>
        <w:t>撬内远传仪表及电气设备均接入撬内防爆接线盒，其自动控制主要功能及要求如下：</w:t>
      </w:r>
    </w:p>
    <w:p w14:paraId="766AB0C1">
      <w:pPr>
        <w:spacing w:line="360" w:lineRule="auto"/>
        <w:ind w:firstLine="480" w:firstLineChars="200"/>
        <w:jc w:val="left"/>
        <w:rPr>
          <w:rFonts w:ascii="Times New Roman" w:hAnsi="Times New Roman" w:eastAsia="宋体"/>
          <w:sz w:val="24"/>
          <w:highlight w:val="none"/>
        </w:rPr>
      </w:pPr>
      <w:r>
        <w:rPr>
          <w:rFonts w:hint="eastAsia" w:ascii="Times New Roman" w:hAnsi="Times New Roman" w:eastAsia="宋体"/>
          <w:sz w:val="24"/>
          <w:highlight w:val="none"/>
        </w:rPr>
        <w:t>（1）泄漏报警切断：当泄漏报警探头检测到天然气浓度达到爆炸下限的20%时，进行声光报警，</w:t>
      </w:r>
      <w:r>
        <w:rPr>
          <w:rFonts w:ascii="Times New Roman" w:hAnsi="Times New Roman" w:eastAsia="宋体"/>
          <w:sz w:val="24"/>
          <w:highlight w:val="none"/>
        </w:rPr>
        <w:t>达到爆炸下</w:t>
      </w:r>
      <w:r>
        <w:rPr>
          <w:rFonts w:hint="eastAsia" w:ascii="Times New Roman" w:hAnsi="Times New Roman" w:eastAsia="宋体"/>
          <w:sz w:val="24"/>
          <w:highlight w:val="none"/>
        </w:rPr>
        <w:t>限</w:t>
      </w:r>
      <w:r>
        <w:rPr>
          <w:rFonts w:ascii="Times New Roman" w:hAnsi="Times New Roman" w:eastAsia="宋体"/>
          <w:sz w:val="24"/>
          <w:highlight w:val="none"/>
        </w:rPr>
        <w:t>的</w:t>
      </w:r>
      <w:r>
        <w:rPr>
          <w:rFonts w:hint="eastAsia" w:ascii="Times New Roman" w:hAnsi="Times New Roman" w:eastAsia="宋体"/>
          <w:sz w:val="24"/>
          <w:highlight w:val="none"/>
        </w:rPr>
        <w:t>40%时切断撬装设备进出口防爆电动球阀；</w:t>
      </w:r>
    </w:p>
    <w:p w14:paraId="67B364C2">
      <w:pPr>
        <w:spacing w:line="360" w:lineRule="auto"/>
        <w:ind w:firstLine="480" w:firstLineChars="200"/>
        <w:jc w:val="left"/>
        <w:rPr>
          <w:rFonts w:ascii="Times New Roman" w:hAnsi="Times New Roman" w:eastAsia="宋体"/>
          <w:sz w:val="24"/>
          <w:highlight w:val="none"/>
        </w:rPr>
      </w:pPr>
      <w:r>
        <w:rPr>
          <w:rFonts w:hint="eastAsia" w:ascii="Times New Roman" w:hAnsi="Times New Roman" w:eastAsia="宋体"/>
          <w:sz w:val="24"/>
          <w:highlight w:val="none"/>
        </w:rPr>
        <w:t>（</w:t>
      </w:r>
      <w:r>
        <w:rPr>
          <w:rFonts w:ascii="Times New Roman" w:hAnsi="Times New Roman" w:eastAsia="宋体"/>
          <w:sz w:val="24"/>
          <w:highlight w:val="none"/>
        </w:rPr>
        <w:t>2</w:t>
      </w:r>
      <w:r>
        <w:rPr>
          <w:rFonts w:hint="eastAsia" w:ascii="Times New Roman" w:hAnsi="Times New Roman" w:eastAsia="宋体"/>
          <w:sz w:val="24"/>
          <w:highlight w:val="none"/>
        </w:rPr>
        <w:t>）管道低温报警：当调压撬出口气体温度低于</w:t>
      </w:r>
      <w:r>
        <w:rPr>
          <w:rFonts w:hint="eastAsia" w:ascii="Times New Roman" w:hAnsi="Times New Roman" w:eastAsia="宋体"/>
          <w:sz w:val="24"/>
          <w:highlight w:val="none"/>
          <w:lang w:val="en-US" w:eastAsia="zh-CN"/>
        </w:rPr>
        <w:t>0</w:t>
      </w:r>
      <w:r>
        <w:rPr>
          <w:rFonts w:hint="eastAsia" w:ascii="Times New Roman" w:hAnsi="Times New Roman" w:eastAsia="宋体"/>
          <w:sz w:val="24"/>
          <w:highlight w:val="none"/>
        </w:rPr>
        <w:t>℃时开始报警，进出口电动阀自动关闭。（该设置温度可调）</w:t>
      </w:r>
    </w:p>
    <w:p w14:paraId="155D20FD">
      <w:pPr>
        <w:spacing w:line="360" w:lineRule="auto"/>
        <w:ind w:firstLine="480" w:firstLineChars="200"/>
        <w:jc w:val="left"/>
        <w:rPr>
          <w:rFonts w:ascii="Times New Roman" w:hAnsi="Times New Roman" w:eastAsia="宋体"/>
          <w:sz w:val="24"/>
          <w:highlight w:val="none"/>
        </w:rPr>
      </w:pPr>
      <w:r>
        <w:rPr>
          <w:rFonts w:hint="eastAsia" w:ascii="Times New Roman" w:hAnsi="Times New Roman" w:eastAsia="宋体"/>
          <w:sz w:val="24"/>
          <w:highlight w:val="none"/>
        </w:rPr>
        <w:t>（3）压力超限报警：当一级调压器前管道压力为</w:t>
      </w:r>
      <w:r>
        <w:rPr>
          <w:rFonts w:hint="eastAsia"/>
          <w:sz w:val="24"/>
          <w:highlight w:val="none"/>
          <w:lang w:val="en-US" w:eastAsia="zh-CN"/>
        </w:rPr>
        <w:t>1.4</w:t>
      </w:r>
      <w:r>
        <w:rPr>
          <w:rFonts w:hint="eastAsia" w:ascii="Times New Roman" w:hAnsi="Times New Roman" w:eastAsia="宋体"/>
          <w:sz w:val="24"/>
          <w:highlight w:val="none"/>
        </w:rPr>
        <w:t>MPa时开始报警，当一级调压器前管道压力为</w:t>
      </w:r>
      <w:r>
        <w:rPr>
          <w:rFonts w:hint="eastAsia"/>
          <w:sz w:val="24"/>
          <w:highlight w:val="none"/>
          <w:lang w:val="en-US" w:eastAsia="zh-CN"/>
        </w:rPr>
        <w:t>1.6</w:t>
      </w:r>
      <w:r>
        <w:rPr>
          <w:rFonts w:hint="eastAsia" w:ascii="Times New Roman" w:hAnsi="Times New Roman" w:eastAsia="宋体"/>
          <w:sz w:val="24"/>
          <w:highlight w:val="none"/>
        </w:rPr>
        <w:t>MPa时开始切断进口电动球阀；当二级调压器前管道压力为</w:t>
      </w:r>
      <w:r>
        <w:rPr>
          <w:rFonts w:hint="eastAsia"/>
          <w:sz w:val="24"/>
          <w:highlight w:val="none"/>
          <w:lang w:val="en-US" w:eastAsia="zh-CN"/>
        </w:rPr>
        <w:t>0.36</w:t>
      </w:r>
      <w:r>
        <w:rPr>
          <w:rFonts w:hint="eastAsia" w:ascii="Times New Roman" w:hAnsi="Times New Roman" w:eastAsia="宋体"/>
          <w:sz w:val="24"/>
          <w:highlight w:val="none"/>
        </w:rPr>
        <w:t>MPa时开始报警，当二级调压器前管道压力为</w:t>
      </w:r>
      <w:r>
        <w:rPr>
          <w:rFonts w:hint="eastAsia"/>
          <w:sz w:val="24"/>
          <w:highlight w:val="none"/>
          <w:lang w:val="en-US" w:eastAsia="zh-CN"/>
        </w:rPr>
        <w:t>0.4</w:t>
      </w:r>
      <w:r>
        <w:rPr>
          <w:rFonts w:hint="eastAsia" w:ascii="Times New Roman" w:hAnsi="Times New Roman" w:eastAsia="宋体"/>
          <w:sz w:val="24"/>
          <w:highlight w:val="none"/>
        </w:rPr>
        <w:t>MPa时开始切断进口电动球阀；当二级调压器后管道压力为0.</w:t>
      </w:r>
      <w:r>
        <w:rPr>
          <w:rFonts w:hint="eastAsia"/>
          <w:sz w:val="24"/>
          <w:highlight w:val="none"/>
          <w:lang w:val="en-US" w:eastAsia="zh-CN"/>
        </w:rPr>
        <w:t>055</w:t>
      </w:r>
      <w:r>
        <w:rPr>
          <w:rFonts w:hint="eastAsia" w:ascii="Times New Roman" w:hAnsi="Times New Roman" w:eastAsia="宋体"/>
          <w:sz w:val="24"/>
          <w:highlight w:val="none"/>
        </w:rPr>
        <w:t>MPa时开始报警，当二级调压器后管道压力为0.</w:t>
      </w:r>
      <w:r>
        <w:rPr>
          <w:rFonts w:hint="eastAsia"/>
          <w:sz w:val="24"/>
          <w:highlight w:val="none"/>
          <w:lang w:val="en-US" w:eastAsia="zh-CN"/>
        </w:rPr>
        <w:t>06</w:t>
      </w:r>
      <w:r>
        <w:rPr>
          <w:rFonts w:hint="eastAsia" w:ascii="Times New Roman" w:hAnsi="Times New Roman" w:eastAsia="宋体"/>
          <w:sz w:val="24"/>
          <w:highlight w:val="none"/>
        </w:rPr>
        <w:t>MPa时开始切断进口电动球阀。（切断压力值一般取最大运行压力的1.1~1.15倍）（</w:t>
      </w:r>
      <w:r>
        <w:rPr>
          <w:rFonts w:ascii="Times New Roman" w:hAnsi="Times New Roman" w:eastAsia="宋体"/>
          <w:sz w:val="24"/>
          <w:highlight w:val="none"/>
        </w:rPr>
        <w:t>4</w:t>
      </w:r>
      <w:r>
        <w:rPr>
          <w:rFonts w:hint="eastAsia" w:ascii="Times New Roman" w:hAnsi="Times New Roman" w:eastAsia="宋体"/>
          <w:sz w:val="24"/>
          <w:highlight w:val="none"/>
        </w:rPr>
        <w:t>）信号采集：控制系统实时记录撬内所有压力检测点、温度检测点、流量计、加</w:t>
      </w:r>
      <w:r>
        <w:rPr>
          <w:rFonts w:ascii="Times New Roman" w:hAnsi="Times New Roman" w:eastAsia="宋体"/>
          <w:sz w:val="24"/>
          <w:highlight w:val="none"/>
        </w:rPr>
        <w:t>臭参数、</w:t>
      </w:r>
      <w:r>
        <w:rPr>
          <w:rFonts w:hint="eastAsia" w:ascii="Times New Roman" w:hAnsi="Times New Roman" w:eastAsia="宋体"/>
          <w:sz w:val="24"/>
          <w:highlight w:val="none"/>
        </w:rPr>
        <w:t>报警记录等参数信号；</w:t>
      </w:r>
    </w:p>
    <w:p w14:paraId="328146D8">
      <w:pPr>
        <w:spacing w:line="360" w:lineRule="auto"/>
        <w:ind w:firstLine="480"/>
        <w:outlineLvl w:val="0"/>
        <w:rPr>
          <w:rFonts w:ascii="Times New Roman" w:hAnsi="Times New Roman" w:eastAsia="宋体"/>
          <w:bCs/>
          <w:sz w:val="24"/>
          <w:highlight w:val="none"/>
          <w:shd w:val="clear" w:color="auto" w:fill="FFFFFF"/>
        </w:rPr>
      </w:pPr>
      <w:r>
        <w:rPr>
          <w:rFonts w:hint="eastAsia" w:ascii="Times New Roman" w:hAnsi="Times New Roman" w:eastAsia="宋体"/>
          <w:sz w:val="24"/>
          <w:highlight w:val="none"/>
          <w:u w:val="single"/>
        </w:rPr>
        <w:t>3、</w:t>
      </w:r>
      <w:r>
        <w:rPr>
          <w:rFonts w:ascii="Times New Roman" w:hAnsi="Times New Roman" w:eastAsia="宋体"/>
          <w:sz w:val="24"/>
          <w:highlight w:val="none"/>
          <w:u w:val="single"/>
        </w:rPr>
        <w:t>系统的所有管道、设备，均要涂上耐腐蚀性好的涂料，</w:t>
      </w:r>
      <w:r>
        <w:rPr>
          <w:rFonts w:hint="eastAsia" w:ascii="Times New Roman" w:hAnsi="Times New Roman" w:eastAsia="宋体"/>
          <w:sz w:val="24"/>
          <w:highlight w:val="none"/>
          <w:u w:val="single"/>
        </w:rPr>
        <w:t>其中环氧富锌底漆（底层，厚度不小于80μm）、环氧云铁防锈漆（中间层，厚度不小于160μm）、氟碳面漆（面层，厚度不小于80μm），涂层总厚度应≥320μm，</w:t>
      </w:r>
      <w:r>
        <w:rPr>
          <w:rFonts w:ascii="Times New Roman" w:hAnsi="Times New Roman" w:eastAsia="宋体"/>
          <w:sz w:val="24"/>
          <w:highlight w:val="none"/>
          <w:u w:val="single"/>
        </w:rPr>
        <w:t>至少应保证使用年限为30年。</w:t>
      </w:r>
    </w:p>
    <w:p w14:paraId="206FE8EF">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4、撬内所有预留口、高点排气口、注氮口等均应配法兰盲板封堵。</w:t>
      </w:r>
    </w:p>
    <w:p w14:paraId="2D7A269F">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lang w:val="en-US" w:eastAsia="zh-CN"/>
        </w:rPr>
        <w:t>5</w:t>
      </w:r>
      <w:r>
        <w:rPr>
          <w:rFonts w:hint="eastAsia" w:ascii="Times New Roman" w:hAnsi="Times New Roman" w:eastAsia="宋体"/>
          <w:sz w:val="24"/>
          <w:highlight w:val="none"/>
          <w:u w:val="single"/>
        </w:rPr>
        <w:t>、无人值守调压站工艺装置、寒冷地区及四周防护为通透围栏的场站应设保护箱体，保护箱体材质应选用</w:t>
      </w:r>
      <w:r>
        <w:rPr>
          <w:rFonts w:ascii="Times New Roman" w:hAnsi="Times New Roman" w:eastAsia="宋体"/>
          <w:sz w:val="24"/>
          <w:highlight w:val="none"/>
          <w:u w:val="single"/>
        </w:rPr>
        <w:t>304</w:t>
      </w:r>
      <w:r>
        <w:rPr>
          <w:rFonts w:hint="eastAsia" w:ascii="Times New Roman" w:hAnsi="Times New Roman" w:eastAsia="宋体"/>
          <w:sz w:val="24"/>
          <w:highlight w:val="none"/>
          <w:u w:val="single"/>
        </w:rPr>
        <w:t>不锈钢，箱体厚度不小于0</w:t>
      </w:r>
      <w:r>
        <w:rPr>
          <w:rFonts w:ascii="Times New Roman" w:hAnsi="Times New Roman" w:eastAsia="宋体"/>
          <w:sz w:val="24"/>
          <w:highlight w:val="none"/>
          <w:u w:val="single"/>
        </w:rPr>
        <w:t>.7</w:t>
      </w:r>
      <w:r>
        <w:rPr>
          <w:rFonts w:hint="eastAsia" w:ascii="Times New Roman" w:hAnsi="Times New Roman" w:eastAsia="宋体"/>
          <w:sz w:val="24"/>
          <w:highlight w:val="none"/>
          <w:u w:val="single"/>
        </w:rPr>
        <w:t>mm。</w:t>
      </w:r>
    </w:p>
    <w:p w14:paraId="5BADA212">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lang w:val="en-US" w:eastAsia="zh-CN"/>
        </w:rPr>
        <w:t>6</w:t>
      </w:r>
      <w:r>
        <w:rPr>
          <w:rFonts w:hint="eastAsia" w:ascii="Times New Roman" w:hAnsi="Times New Roman" w:eastAsia="宋体"/>
          <w:sz w:val="24"/>
          <w:highlight w:val="none"/>
          <w:u w:val="single"/>
        </w:rPr>
        <w:t>、撬体设置就地放散时，放散管管口高度不小于4米，同时放散管应与设备撬体做好稳固连接，放散管顶端不得设置弯管，底部应设排水阀。</w:t>
      </w:r>
    </w:p>
    <w:p w14:paraId="09445C75">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lang w:val="en-US" w:eastAsia="zh-CN"/>
        </w:rPr>
        <w:t>7</w:t>
      </w:r>
      <w:r>
        <w:rPr>
          <w:rFonts w:hint="eastAsia" w:ascii="Times New Roman" w:hAnsi="Times New Roman" w:eastAsia="宋体"/>
          <w:sz w:val="24"/>
          <w:highlight w:val="none"/>
          <w:u w:val="single"/>
        </w:rPr>
        <w:t>、撬内设备的连接螺栓应采用黄油涂覆，并采用聚乙烯（PE）螺栓保护套进行保护。</w:t>
      </w:r>
    </w:p>
    <w:p w14:paraId="24EFA03E">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8、撬内所有设备接口法兰小于5个螺栓的时候均应进行防静电跨接，跨接线采用BVR-6mm</w:t>
      </w:r>
      <w:r>
        <w:rPr>
          <w:rFonts w:ascii="Times New Roman" w:hAnsi="Times New Roman" w:eastAsia="宋体"/>
          <w:sz w:val="24"/>
          <w:highlight w:val="none"/>
          <w:u w:val="single"/>
          <w:vertAlign w:val="superscript"/>
        </w:rPr>
        <w:t>2</w:t>
      </w:r>
      <w:r>
        <w:rPr>
          <w:rFonts w:hint="eastAsia" w:ascii="Times New Roman" w:hAnsi="Times New Roman" w:eastAsia="宋体"/>
          <w:sz w:val="24"/>
          <w:highlight w:val="none"/>
          <w:u w:val="single"/>
        </w:rPr>
        <w:t>黄绿双色铜芯线配铜鼻子进行跨接。</w:t>
      </w:r>
    </w:p>
    <w:p w14:paraId="322291F3">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9、对工艺流程要求设置电伴热的部位（信号管、</w:t>
      </w:r>
      <w:r>
        <w:rPr>
          <w:rFonts w:ascii="Times New Roman" w:hAnsi="Times New Roman" w:eastAsia="宋体"/>
          <w:sz w:val="24"/>
          <w:highlight w:val="none"/>
          <w:u w:val="single"/>
        </w:rPr>
        <w:t>排污管、流量计</w:t>
      </w:r>
      <w:r>
        <w:rPr>
          <w:rFonts w:hint="eastAsia" w:ascii="Times New Roman" w:hAnsi="Times New Roman" w:eastAsia="宋体"/>
          <w:sz w:val="24"/>
          <w:highlight w:val="none"/>
          <w:u w:val="single"/>
        </w:rPr>
        <w:t>、调压器本体</w:t>
      </w:r>
      <w:r>
        <w:rPr>
          <w:rFonts w:ascii="Times New Roman" w:hAnsi="Times New Roman" w:eastAsia="宋体"/>
          <w:sz w:val="24"/>
          <w:highlight w:val="none"/>
          <w:u w:val="single"/>
        </w:rPr>
        <w:t>等处）</w:t>
      </w:r>
      <w:r>
        <w:rPr>
          <w:rFonts w:hint="eastAsia" w:ascii="Times New Roman" w:hAnsi="Times New Roman" w:eastAsia="宋体"/>
          <w:sz w:val="24"/>
          <w:highlight w:val="none"/>
          <w:u w:val="single"/>
        </w:rPr>
        <w:t>，电伴热带采用防爆自限式电热带，电热带、电源接线盒、温控器、三通接线盒、两通接线盒、末端接线盒等均应采用防爆设备。电伴热同时采用铝箔胶带纸缠绕进行防护，外侧采用保温管壳进行保温，保温层外侧采用0.5mm镀锌铁皮进行保护。电伴热带的功率由厂家复核，以确保调压计量撬流量计信号管、调压器信号管、过滤器差压变送器信号管等处于0℃以上。</w:t>
      </w:r>
    </w:p>
    <w:p w14:paraId="6290086C">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1</w:t>
      </w:r>
      <w:r>
        <w:rPr>
          <w:rFonts w:hint="eastAsia" w:ascii="Times New Roman" w:hAnsi="Times New Roman" w:eastAsia="宋体"/>
          <w:sz w:val="24"/>
          <w:highlight w:val="none"/>
          <w:u w:val="single"/>
          <w:lang w:val="en-US" w:eastAsia="zh-CN"/>
        </w:rPr>
        <w:t>0</w:t>
      </w:r>
      <w:r>
        <w:rPr>
          <w:rFonts w:hint="eastAsia" w:ascii="Times New Roman" w:hAnsi="Times New Roman" w:eastAsia="宋体"/>
          <w:sz w:val="24"/>
          <w:highlight w:val="none"/>
          <w:u w:val="single"/>
        </w:rPr>
        <w:t>、可然气体探测器宜采用催化燃烧型，具体技术要求详见《工业及商业用途点型可燃气体探测器采购技术规格书》（ZR</w:t>
      </w:r>
      <w:r>
        <w:rPr>
          <w:rFonts w:ascii="Times New Roman" w:hAnsi="Times New Roman" w:eastAsia="宋体"/>
          <w:sz w:val="24"/>
          <w:highlight w:val="none"/>
          <w:u w:val="single"/>
        </w:rPr>
        <w:t>-JSGL-502D</w:t>
      </w:r>
      <w:r>
        <w:rPr>
          <w:rFonts w:hint="eastAsia" w:ascii="Times New Roman" w:hAnsi="Times New Roman" w:eastAsia="宋体"/>
          <w:sz w:val="24"/>
          <w:highlight w:val="none"/>
          <w:u w:val="single"/>
        </w:rPr>
        <w:t>）。</w:t>
      </w:r>
    </w:p>
    <w:p w14:paraId="09A3A7F6">
      <w:pPr>
        <w:spacing w:line="360" w:lineRule="auto"/>
        <w:ind w:firstLine="480" w:firstLineChars="200"/>
        <w:rPr>
          <w:rFonts w:ascii="Times New Roman" w:hAnsi="Times New Roman" w:eastAsia="宋体" w:cs="Arial"/>
          <w:kern w:val="0"/>
          <w:sz w:val="24"/>
          <w:highlight w:val="none"/>
        </w:rPr>
      </w:pPr>
      <w:r>
        <w:rPr>
          <w:rFonts w:hint="eastAsia" w:ascii="Times New Roman" w:hAnsi="Times New Roman" w:eastAsia="宋体" w:cs="Arial"/>
          <w:kern w:val="0"/>
          <w:sz w:val="24"/>
          <w:highlight w:val="none"/>
        </w:rPr>
        <w:t>1</w:t>
      </w:r>
      <w:r>
        <w:rPr>
          <w:rFonts w:hint="eastAsia" w:ascii="Times New Roman" w:hAnsi="Times New Roman" w:eastAsia="宋体" w:cs="Arial"/>
          <w:kern w:val="0"/>
          <w:sz w:val="24"/>
          <w:highlight w:val="none"/>
          <w:lang w:val="en-US" w:eastAsia="zh-CN"/>
        </w:rPr>
        <w:t>1</w:t>
      </w:r>
      <w:r>
        <w:rPr>
          <w:rFonts w:hint="eastAsia" w:ascii="Times New Roman" w:hAnsi="Times New Roman" w:eastAsia="宋体" w:cs="Arial"/>
          <w:kern w:val="0"/>
          <w:sz w:val="24"/>
          <w:highlight w:val="none"/>
        </w:rPr>
        <w:t>、</w:t>
      </w:r>
      <w:r>
        <w:rPr>
          <w:rFonts w:ascii="Times New Roman" w:hAnsi="Times New Roman" w:eastAsia="宋体" w:cs="Arial"/>
          <w:kern w:val="0"/>
          <w:sz w:val="24"/>
          <w:highlight w:val="none"/>
        </w:rPr>
        <w:t>所有信号、电源电缆应采用铜芯多股绞合软导体，它们的绝缘耐压等级应为额定电压的2倍且不小于500V。它们应为阻燃型。信号电缆的线芯截面积不应小于1mm</w:t>
      </w:r>
      <w:r>
        <w:rPr>
          <w:rFonts w:ascii="Times New Roman" w:hAnsi="Times New Roman" w:eastAsia="宋体" w:cs="Arial"/>
          <w:kern w:val="0"/>
          <w:sz w:val="24"/>
          <w:highlight w:val="none"/>
          <w:vertAlign w:val="superscript"/>
        </w:rPr>
        <w:t>2</w:t>
      </w:r>
      <w:r>
        <w:rPr>
          <w:rFonts w:ascii="Times New Roman" w:hAnsi="Times New Roman" w:eastAsia="宋体" w:cs="Arial"/>
          <w:kern w:val="0"/>
          <w:sz w:val="24"/>
          <w:highlight w:val="none"/>
        </w:rPr>
        <w:t>，电源电缆的线芯截面积不应小于2.5mm</w:t>
      </w:r>
      <w:r>
        <w:rPr>
          <w:rFonts w:ascii="Times New Roman" w:hAnsi="Times New Roman" w:eastAsia="宋体" w:cs="Arial"/>
          <w:kern w:val="0"/>
          <w:sz w:val="24"/>
          <w:highlight w:val="none"/>
          <w:vertAlign w:val="superscript"/>
        </w:rPr>
        <w:t>2</w:t>
      </w:r>
      <w:r>
        <w:rPr>
          <w:rFonts w:ascii="Times New Roman" w:hAnsi="Times New Roman" w:eastAsia="宋体" w:cs="Arial"/>
          <w:kern w:val="0"/>
          <w:sz w:val="24"/>
          <w:highlight w:val="none"/>
        </w:rPr>
        <w:t>。信号电缆采用分屏总屏电缆。</w:t>
      </w:r>
    </w:p>
    <w:p w14:paraId="582A0386">
      <w:pPr>
        <w:snapToGrid w:val="0"/>
        <w:spacing w:line="360" w:lineRule="auto"/>
        <w:ind w:firstLine="480" w:firstLineChars="200"/>
        <w:rPr>
          <w:rFonts w:ascii="Times New Roman" w:hAnsi="Times New Roman" w:eastAsia="宋体"/>
          <w:sz w:val="24"/>
          <w:highlight w:val="none"/>
          <w:u w:val="single"/>
        </w:rPr>
      </w:pPr>
      <w:r>
        <w:rPr>
          <w:rFonts w:ascii="Times New Roman" w:hAnsi="Times New Roman" w:eastAsia="宋体"/>
          <w:sz w:val="24"/>
          <w:highlight w:val="none"/>
          <w:u w:val="single"/>
        </w:rPr>
        <w:t>1</w:t>
      </w:r>
      <w:r>
        <w:rPr>
          <w:rFonts w:hint="eastAsia" w:ascii="Times New Roman" w:hAnsi="Times New Roman" w:eastAsia="宋体"/>
          <w:sz w:val="24"/>
          <w:highlight w:val="none"/>
          <w:u w:val="single"/>
          <w:lang w:val="en-US" w:eastAsia="zh-CN"/>
        </w:rPr>
        <w:t>3</w:t>
      </w:r>
      <w:r>
        <w:rPr>
          <w:rFonts w:hint="eastAsia" w:ascii="Times New Roman" w:hAnsi="Times New Roman" w:eastAsia="宋体"/>
          <w:sz w:val="24"/>
          <w:highlight w:val="none"/>
          <w:u w:val="single"/>
        </w:rPr>
        <w:t>、本撬装设备所有焊口均进行100%外观检测，</w:t>
      </w:r>
      <w:r>
        <w:rPr>
          <w:rFonts w:hint="eastAsia" w:ascii="Times New Roman" w:hAnsi="Times New Roman" w:eastAsia="宋体" w:cs="微软雅黑"/>
          <w:sz w:val="24"/>
          <w:highlight w:val="none"/>
          <w:u w:val="single"/>
        </w:rPr>
        <w:t>Ⅱ</w:t>
      </w:r>
      <w:r>
        <w:rPr>
          <w:rFonts w:ascii="Times New Roman" w:hAnsi="Times New Roman" w:eastAsia="宋体"/>
          <w:sz w:val="24"/>
          <w:highlight w:val="none"/>
          <w:u w:val="single"/>
        </w:rPr>
        <w:t>级合格</w:t>
      </w:r>
      <w:r>
        <w:rPr>
          <w:rFonts w:hint="eastAsia" w:ascii="Times New Roman" w:hAnsi="Times New Roman" w:eastAsia="宋体"/>
          <w:sz w:val="24"/>
          <w:highlight w:val="none"/>
          <w:u w:val="single"/>
        </w:rPr>
        <w:t>；</w:t>
      </w:r>
      <w:r>
        <w:rPr>
          <w:rFonts w:ascii="Times New Roman" w:hAnsi="Times New Roman" w:eastAsia="宋体"/>
          <w:sz w:val="24"/>
          <w:highlight w:val="none"/>
          <w:u w:val="single"/>
        </w:rPr>
        <w:t>外观检测合格后</w:t>
      </w:r>
      <w:r>
        <w:rPr>
          <w:rFonts w:hint="eastAsia" w:ascii="Times New Roman" w:hAnsi="Times New Roman" w:eastAsia="宋体"/>
          <w:sz w:val="24"/>
          <w:highlight w:val="none"/>
          <w:u w:val="single"/>
        </w:rPr>
        <w:t>，</w:t>
      </w:r>
      <w:r>
        <w:rPr>
          <w:rFonts w:ascii="Times New Roman" w:hAnsi="Times New Roman" w:eastAsia="宋体"/>
          <w:sz w:val="24"/>
          <w:highlight w:val="none"/>
          <w:u w:val="single"/>
        </w:rPr>
        <w:t>需进行100%的射线探伤和</w:t>
      </w:r>
      <w:r>
        <w:rPr>
          <w:rFonts w:hint="eastAsia" w:ascii="Times New Roman" w:hAnsi="Times New Roman" w:eastAsia="宋体"/>
          <w:sz w:val="24"/>
          <w:highlight w:val="none"/>
          <w:u w:val="single"/>
        </w:rPr>
        <w:t>100%超声检测</w:t>
      </w:r>
      <w:r>
        <w:rPr>
          <w:rFonts w:ascii="Times New Roman" w:hAnsi="Times New Roman" w:eastAsia="宋体"/>
          <w:sz w:val="24"/>
          <w:highlight w:val="none"/>
          <w:u w:val="single"/>
        </w:rPr>
        <w:t>，</w:t>
      </w:r>
      <w:r>
        <w:rPr>
          <w:rFonts w:hint="eastAsia" w:ascii="Times New Roman" w:hAnsi="Times New Roman" w:eastAsia="宋体"/>
          <w:sz w:val="24"/>
          <w:highlight w:val="none"/>
          <w:u w:val="single"/>
        </w:rPr>
        <w:t>射线</w:t>
      </w:r>
      <w:r>
        <w:rPr>
          <w:rFonts w:ascii="Times New Roman" w:hAnsi="Times New Roman" w:eastAsia="宋体"/>
          <w:sz w:val="24"/>
          <w:highlight w:val="none"/>
          <w:u w:val="single"/>
        </w:rPr>
        <w:t>检测应符合国家规范《</w:t>
      </w:r>
      <w:r>
        <w:rPr>
          <w:rFonts w:hint="eastAsia" w:ascii="Times New Roman" w:hAnsi="Times New Roman" w:eastAsia="宋体"/>
          <w:sz w:val="24"/>
          <w:highlight w:val="none"/>
          <w:u w:val="single"/>
        </w:rPr>
        <w:t>承压设备无损检测</w:t>
      </w:r>
      <w:r>
        <w:rPr>
          <w:rFonts w:ascii="Times New Roman" w:hAnsi="Times New Roman" w:eastAsia="宋体"/>
          <w:sz w:val="24"/>
          <w:highlight w:val="none"/>
          <w:u w:val="single"/>
        </w:rPr>
        <w:t>》</w:t>
      </w:r>
      <w:r>
        <w:rPr>
          <w:rFonts w:hint="eastAsia" w:ascii="Times New Roman" w:hAnsi="Times New Roman" w:eastAsia="宋体"/>
          <w:sz w:val="24"/>
          <w:highlight w:val="none"/>
          <w:u w:val="single"/>
        </w:rPr>
        <w:t>NB</w:t>
      </w:r>
      <w:r>
        <w:rPr>
          <w:rFonts w:ascii="Times New Roman" w:hAnsi="Times New Roman" w:eastAsia="宋体"/>
          <w:sz w:val="24"/>
          <w:highlight w:val="none"/>
          <w:u w:val="single"/>
        </w:rPr>
        <w:t>/T</w:t>
      </w:r>
      <w:r>
        <w:rPr>
          <w:rFonts w:hint="eastAsia" w:ascii="Times New Roman" w:hAnsi="Times New Roman" w:eastAsia="宋体"/>
          <w:sz w:val="24"/>
          <w:highlight w:val="none"/>
          <w:u w:val="single"/>
        </w:rPr>
        <w:t>47013</w:t>
      </w:r>
      <w:r>
        <w:rPr>
          <w:rFonts w:ascii="Times New Roman" w:hAnsi="Times New Roman" w:eastAsia="宋体"/>
          <w:sz w:val="24"/>
          <w:highlight w:val="none"/>
          <w:u w:val="single"/>
        </w:rPr>
        <w:t>.</w:t>
      </w:r>
      <w:r>
        <w:rPr>
          <w:rFonts w:hint="eastAsia" w:ascii="Times New Roman" w:hAnsi="Times New Roman" w:eastAsia="宋体"/>
          <w:sz w:val="24"/>
          <w:highlight w:val="none"/>
          <w:u w:val="single"/>
        </w:rPr>
        <w:t>2的要求</w:t>
      </w:r>
      <w:r>
        <w:rPr>
          <w:rFonts w:ascii="Times New Roman" w:hAnsi="Times New Roman" w:eastAsia="宋体"/>
          <w:sz w:val="24"/>
          <w:highlight w:val="none"/>
          <w:u w:val="single"/>
        </w:rPr>
        <w:t>，</w:t>
      </w:r>
      <w:r>
        <w:rPr>
          <w:rFonts w:hint="eastAsia" w:ascii="Times New Roman" w:hAnsi="Times New Roman" w:eastAsia="宋体" w:cs="微软雅黑"/>
          <w:sz w:val="24"/>
          <w:highlight w:val="none"/>
          <w:u w:val="single"/>
        </w:rPr>
        <w:t>Ⅱ</w:t>
      </w:r>
      <w:r>
        <w:rPr>
          <w:rFonts w:ascii="Times New Roman" w:hAnsi="Times New Roman" w:eastAsia="宋体"/>
          <w:sz w:val="24"/>
          <w:highlight w:val="none"/>
          <w:u w:val="single"/>
        </w:rPr>
        <w:t>级合格</w:t>
      </w:r>
      <w:r>
        <w:rPr>
          <w:rFonts w:hint="eastAsia" w:ascii="Times New Roman" w:hAnsi="Times New Roman" w:eastAsia="宋体"/>
          <w:sz w:val="24"/>
          <w:highlight w:val="none"/>
          <w:u w:val="single"/>
        </w:rPr>
        <w:t>；超声</w:t>
      </w:r>
      <w:r>
        <w:rPr>
          <w:rFonts w:ascii="Times New Roman" w:hAnsi="Times New Roman" w:eastAsia="宋体"/>
          <w:sz w:val="24"/>
          <w:highlight w:val="none"/>
          <w:u w:val="single"/>
        </w:rPr>
        <w:t>检测应符合国家规范《</w:t>
      </w:r>
      <w:r>
        <w:rPr>
          <w:rFonts w:hint="eastAsia" w:ascii="Times New Roman" w:hAnsi="Times New Roman" w:eastAsia="宋体"/>
          <w:sz w:val="24"/>
          <w:highlight w:val="none"/>
          <w:u w:val="single"/>
        </w:rPr>
        <w:t>承压设备无损检测</w:t>
      </w:r>
      <w:r>
        <w:rPr>
          <w:rFonts w:ascii="Times New Roman" w:hAnsi="Times New Roman" w:eastAsia="宋体"/>
          <w:sz w:val="24"/>
          <w:highlight w:val="none"/>
          <w:u w:val="single"/>
        </w:rPr>
        <w:t>》</w:t>
      </w:r>
      <w:r>
        <w:rPr>
          <w:rFonts w:hint="eastAsia" w:ascii="Times New Roman" w:hAnsi="Times New Roman" w:eastAsia="宋体"/>
          <w:sz w:val="24"/>
          <w:highlight w:val="none"/>
          <w:u w:val="single"/>
        </w:rPr>
        <w:t>NB</w:t>
      </w:r>
      <w:r>
        <w:rPr>
          <w:rFonts w:ascii="Times New Roman" w:hAnsi="Times New Roman" w:eastAsia="宋体"/>
          <w:sz w:val="24"/>
          <w:highlight w:val="none"/>
          <w:u w:val="single"/>
        </w:rPr>
        <w:t>/T</w:t>
      </w:r>
      <w:r>
        <w:rPr>
          <w:rFonts w:hint="eastAsia" w:ascii="Times New Roman" w:hAnsi="Times New Roman" w:eastAsia="宋体"/>
          <w:sz w:val="24"/>
          <w:highlight w:val="none"/>
          <w:u w:val="single"/>
        </w:rPr>
        <w:t>47013</w:t>
      </w:r>
      <w:r>
        <w:rPr>
          <w:rFonts w:ascii="Times New Roman" w:hAnsi="Times New Roman" w:eastAsia="宋体"/>
          <w:sz w:val="24"/>
          <w:highlight w:val="none"/>
          <w:u w:val="single"/>
        </w:rPr>
        <w:t>.</w:t>
      </w:r>
      <w:r>
        <w:rPr>
          <w:rFonts w:hint="eastAsia" w:ascii="Times New Roman" w:hAnsi="Times New Roman" w:eastAsia="宋体"/>
          <w:sz w:val="24"/>
          <w:highlight w:val="none"/>
          <w:u w:val="single"/>
        </w:rPr>
        <w:t>3的要求</w:t>
      </w:r>
      <w:r>
        <w:rPr>
          <w:rFonts w:ascii="Times New Roman" w:hAnsi="Times New Roman" w:eastAsia="宋体"/>
          <w:sz w:val="24"/>
          <w:highlight w:val="none"/>
          <w:u w:val="single"/>
        </w:rPr>
        <w:t>，</w:t>
      </w:r>
      <w:r>
        <w:rPr>
          <w:rFonts w:hint="eastAsia" w:ascii="Times New Roman" w:hAnsi="Times New Roman" w:eastAsia="宋体" w:cs="微软雅黑"/>
          <w:sz w:val="24"/>
          <w:highlight w:val="none"/>
          <w:u w:val="single"/>
        </w:rPr>
        <w:t>Ⅰ</w:t>
      </w:r>
      <w:r>
        <w:rPr>
          <w:rFonts w:ascii="Times New Roman" w:hAnsi="Times New Roman" w:eastAsia="宋体"/>
          <w:sz w:val="24"/>
          <w:highlight w:val="none"/>
          <w:u w:val="single"/>
        </w:rPr>
        <w:t>级合格</w:t>
      </w:r>
      <w:r>
        <w:rPr>
          <w:rFonts w:hint="eastAsia" w:ascii="Times New Roman" w:hAnsi="Times New Roman" w:eastAsia="宋体"/>
          <w:sz w:val="24"/>
          <w:highlight w:val="none"/>
          <w:u w:val="single"/>
        </w:rPr>
        <w:t>；其他无损检测要求详见《压力管道规范 公用管道》GB/T38942-2020中相关规定，</w:t>
      </w:r>
      <w:r>
        <w:rPr>
          <w:rFonts w:ascii="Times New Roman" w:hAnsi="Times New Roman" w:eastAsia="宋体"/>
          <w:sz w:val="24"/>
          <w:highlight w:val="none"/>
          <w:u w:val="single"/>
        </w:rPr>
        <w:t>并须提供探伤报告</w:t>
      </w:r>
      <w:r>
        <w:rPr>
          <w:rFonts w:hint="eastAsia" w:ascii="Times New Roman" w:hAnsi="Times New Roman" w:eastAsia="宋体"/>
          <w:sz w:val="24"/>
          <w:highlight w:val="none"/>
          <w:u w:val="single"/>
        </w:rPr>
        <w:t>。</w:t>
      </w:r>
    </w:p>
    <w:p w14:paraId="5B72253E">
      <w:pPr>
        <w:snapToGrid w:val="0"/>
        <w:spacing w:line="360" w:lineRule="auto"/>
        <w:ind w:firstLine="480" w:firstLineChars="200"/>
        <w:rPr>
          <w:sz w:val="24"/>
          <w:highlight w:val="none"/>
          <w:u w:val="single"/>
        </w:rPr>
      </w:pPr>
      <w:r>
        <w:rPr>
          <w:rFonts w:hint="eastAsia"/>
          <w:sz w:val="24"/>
          <w:highlight w:val="none"/>
          <w:u w:val="single"/>
        </w:rPr>
        <w:t>15、当撬装设备焊接检验合格后，撬装设备需进行压力试验。设计压力＞0.8MPa的管道，在采取相应的安全保护措施后，可采用气压试验，试验介质为空气或惰性气体，试验压力为1.15倍设计压力；设计压力≤0.8MPa的管道，试验介质为空气或惰性气体，，试验压力为1.25倍设计压力，且试验压力不得小于0.4MPa，其他压力试验要求应符合《压力管道规范 公用管道》GB/T38942-2020中的相关规定，</w:t>
      </w:r>
      <w:r>
        <w:rPr>
          <w:sz w:val="24"/>
          <w:highlight w:val="none"/>
          <w:u w:val="single"/>
        </w:rPr>
        <w:t>并须提供</w:t>
      </w:r>
      <w:r>
        <w:rPr>
          <w:rFonts w:hint="eastAsia"/>
          <w:sz w:val="24"/>
          <w:highlight w:val="none"/>
          <w:u w:val="single"/>
        </w:rPr>
        <w:t>压力</w:t>
      </w:r>
      <w:r>
        <w:rPr>
          <w:sz w:val="24"/>
          <w:highlight w:val="none"/>
          <w:u w:val="single"/>
        </w:rPr>
        <w:t>试验合格报告。</w:t>
      </w:r>
    </w:p>
    <w:p w14:paraId="206653FA">
      <w:pPr>
        <w:spacing w:line="360" w:lineRule="auto"/>
        <w:outlineLvl w:val="0"/>
        <w:rPr>
          <w:rFonts w:ascii="Times New Roman" w:hAnsi="Times New Roman" w:eastAsia="宋体"/>
          <w:b/>
          <w:bCs/>
          <w:sz w:val="24"/>
          <w:highlight w:val="none"/>
          <w:shd w:val="clear" w:color="auto" w:fill="FFFFFF"/>
        </w:rPr>
      </w:pPr>
      <w:r>
        <w:rPr>
          <w:rFonts w:hint="eastAsia" w:ascii="Times New Roman" w:hAnsi="Times New Roman" w:eastAsia="宋体"/>
          <w:b/>
          <w:bCs/>
          <w:sz w:val="24"/>
          <w:highlight w:val="none"/>
          <w:shd w:val="clear" w:color="auto" w:fill="FFFFFF"/>
        </w:rPr>
        <w:t>十、其他撬装设备要求</w:t>
      </w:r>
    </w:p>
    <w:p w14:paraId="618CC838">
      <w:pPr>
        <w:spacing w:line="360" w:lineRule="auto"/>
        <w:ind w:firstLine="480" w:firstLineChars="200"/>
        <w:rPr>
          <w:rFonts w:ascii="Times New Roman" w:hAnsi="Times New Roman" w:eastAsia="宋体" w:cs="Arial"/>
          <w:kern w:val="0"/>
          <w:sz w:val="24"/>
          <w:highlight w:val="none"/>
        </w:rPr>
      </w:pPr>
      <w:r>
        <w:rPr>
          <w:rFonts w:hint="eastAsia" w:ascii="Times New Roman" w:hAnsi="Times New Roman" w:eastAsia="宋体" w:cs="Arial"/>
          <w:kern w:val="0"/>
          <w:sz w:val="24"/>
          <w:highlight w:val="none"/>
        </w:rPr>
        <w:t>（1）</w:t>
      </w:r>
      <w:r>
        <w:rPr>
          <w:rFonts w:ascii="Times New Roman" w:hAnsi="Times New Roman" w:eastAsia="宋体" w:cs="Arial"/>
          <w:kern w:val="0"/>
          <w:sz w:val="24"/>
          <w:highlight w:val="none"/>
        </w:rPr>
        <w:t>撬装设备应固定在钢制结构的底座和支架上，该底座与支架应采用型钢制作。整套撬装系统应有用于吊装用的吊环，底座上应预留用于现场安装的螺栓孔，撬装系统的管道高度应根据现场工艺管线的高度确定。</w:t>
      </w:r>
    </w:p>
    <w:p w14:paraId="5A104C3D">
      <w:pPr>
        <w:spacing w:line="360" w:lineRule="auto"/>
        <w:ind w:firstLine="480" w:firstLineChars="200"/>
        <w:rPr>
          <w:rFonts w:ascii="Times New Roman" w:hAnsi="Times New Roman" w:eastAsia="宋体" w:cs="Arial"/>
          <w:kern w:val="0"/>
          <w:sz w:val="24"/>
          <w:highlight w:val="none"/>
        </w:rPr>
      </w:pPr>
      <w:r>
        <w:rPr>
          <w:rFonts w:hint="eastAsia" w:ascii="Times New Roman" w:hAnsi="Times New Roman" w:eastAsia="宋体" w:cs="Arial"/>
          <w:kern w:val="0"/>
          <w:sz w:val="24"/>
          <w:highlight w:val="none"/>
        </w:rPr>
        <w:t>（</w:t>
      </w:r>
      <w:r>
        <w:rPr>
          <w:rFonts w:ascii="Times New Roman" w:hAnsi="Times New Roman" w:eastAsia="宋体" w:cs="Arial"/>
          <w:kern w:val="0"/>
          <w:sz w:val="24"/>
          <w:highlight w:val="none"/>
        </w:rPr>
        <w:t>2</w:t>
      </w:r>
      <w:r>
        <w:rPr>
          <w:rFonts w:hint="eastAsia" w:ascii="Times New Roman" w:hAnsi="Times New Roman" w:eastAsia="宋体" w:cs="Arial"/>
          <w:kern w:val="0"/>
          <w:sz w:val="24"/>
          <w:highlight w:val="none"/>
        </w:rPr>
        <w:t>）</w:t>
      </w:r>
      <w:r>
        <w:rPr>
          <w:rFonts w:ascii="Times New Roman" w:hAnsi="Times New Roman" w:eastAsia="宋体" w:cs="Arial"/>
          <w:kern w:val="0"/>
          <w:sz w:val="24"/>
          <w:highlight w:val="none"/>
        </w:rPr>
        <w:t>为保证设备安全和系统的可靠，在有可能将雷电感应所引起的过电流与过电压引入系统的部位（仪表信号传输接口、执行机构信号接口、数据通信接口、供电接口等），应安装电涌保护器，以避免雷电感应的高压窜入，造成设备损坏。</w:t>
      </w:r>
    </w:p>
    <w:p w14:paraId="78D14DDC">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w:t>
      </w:r>
      <w:r>
        <w:rPr>
          <w:rFonts w:ascii="Times New Roman" w:hAnsi="Times New Roman" w:eastAsia="宋体"/>
          <w:sz w:val="24"/>
          <w:highlight w:val="none"/>
          <w:u w:val="single"/>
        </w:rPr>
        <w:t>3</w:t>
      </w:r>
      <w:r>
        <w:rPr>
          <w:rFonts w:hint="eastAsia" w:ascii="Times New Roman" w:hAnsi="Times New Roman" w:eastAsia="宋体"/>
          <w:sz w:val="24"/>
          <w:highlight w:val="none"/>
          <w:u w:val="single"/>
        </w:rPr>
        <w:t>）应按平铺设计（除放散及排污管），站内阀门、仪表、管道等设施安装的水平间距和标高应便于观察、操作和维修，主管路管道中心轴线的高度宜为0.8~1.0m，管路与设备外缘之间水平净距不小于0.8m。</w:t>
      </w:r>
    </w:p>
    <w:p w14:paraId="7C455584">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w:t>
      </w:r>
      <w:r>
        <w:rPr>
          <w:rFonts w:ascii="Times New Roman" w:hAnsi="Times New Roman" w:eastAsia="宋体"/>
          <w:sz w:val="24"/>
          <w:highlight w:val="none"/>
          <w:u w:val="single"/>
        </w:rPr>
        <w:t>4</w:t>
      </w:r>
      <w:r>
        <w:rPr>
          <w:rFonts w:hint="eastAsia" w:ascii="Times New Roman" w:hAnsi="Times New Roman" w:eastAsia="宋体"/>
          <w:sz w:val="24"/>
          <w:highlight w:val="none"/>
          <w:u w:val="single"/>
        </w:rPr>
        <w:t>）双路配置的撬装设备，在进行设备组装时，应将阀门等设备主要操作手柄（手轮）、显示屏、操作按钮等置于撬体外侧，以方便操作、检修及维护。</w:t>
      </w:r>
    </w:p>
    <w:p w14:paraId="51A251C3">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w:t>
      </w:r>
      <w:r>
        <w:rPr>
          <w:rFonts w:ascii="Times New Roman" w:hAnsi="Times New Roman" w:eastAsia="宋体"/>
          <w:sz w:val="24"/>
          <w:highlight w:val="none"/>
          <w:u w:val="single"/>
        </w:rPr>
        <w:t>5</w:t>
      </w:r>
      <w:r>
        <w:rPr>
          <w:rFonts w:hint="eastAsia" w:ascii="Times New Roman" w:hAnsi="Times New Roman" w:eastAsia="宋体"/>
          <w:sz w:val="24"/>
          <w:highlight w:val="none"/>
          <w:u w:val="single"/>
        </w:rPr>
        <w:t>）当撬装设备总路数超过2路时，中间工作路应设置检修通道及钢梯，方便人员通行及操作，钢梯采用钢斜梯，钢梯及栏杆的设置应符合《固定式钢梯及平台安全要求》GB4053-2009的规定。</w:t>
      </w:r>
    </w:p>
    <w:p w14:paraId="28FAC17F">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w:t>
      </w:r>
      <w:r>
        <w:rPr>
          <w:rFonts w:ascii="Times New Roman" w:hAnsi="Times New Roman" w:eastAsia="宋体"/>
          <w:sz w:val="24"/>
          <w:highlight w:val="none"/>
          <w:u w:val="single"/>
        </w:rPr>
        <w:t>6</w:t>
      </w:r>
      <w:r>
        <w:rPr>
          <w:rFonts w:hint="eastAsia" w:ascii="Times New Roman" w:hAnsi="Times New Roman" w:eastAsia="宋体"/>
          <w:sz w:val="24"/>
          <w:highlight w:val="none"/>
          <w:u w:val="single"/>
        </w:rPr>
        <w:t>）为满足大型设备（过滤分离器、旋风过滤器、立式换热器、立式电加热器等）检修及维护的需要，应在合适的位置设置操作平台。操作平台高度应满足日常维护、设备更换的需要，操作平台四周应设置不锈钢栏杆，钢梯及操作平台的设置应符合《固定式钢梯及平台安全要求》GB4053-2009的规定。</w:t>
      </w:r>
    </w:p>
    <w:p w14:paraId="3C13571F">
      <w:pPr>
        <w:snapToGrid w:val="0"/>
        <w:spacing w:line="360" w:lineRule="auto"/>
        <w:ind w:firstLine="480" w:firstLineChars="200"/>
        <w:rPr>
          <w:rFonts w:ascii="Times New Roman" w:hAnsi="Times New Roman" w:eastAsia="宋体"/>
          <w:sz w:val="24"/>
          <w:highlight w:val="none"/>
          <w:u w:val="single"/>
        </w:rPr>
      </w:pPr>
      <w:r>
        <w:rPr>
          <w:rFonts w:hint="eastAsia" w:ascii="Times New Roman" w:hAnsi="Times New Roman" w:eastAsia="宋体"/>
          <w:sz w:val="24"/>
          <w:highlight w:val="none"/>
          <w:u w:val="single"/>
        </w:rPr>
        <w:t>（</w:t>
      </w:r>
      <w:r>
        <w:rPr>
          <w:rFonts w:ascii="Times New Roman" w:hAnsi="Times New Roman" w:eastAsia="宋体"/>
          <w:sz w:val="24"/>
          <w:highlight w:val="none"/>
          <w:u w:val="single"/>
        </w:rPr>
        <w:t>7</w:t>
      </w:r>
      <w:r>
        <w:rPr>
          <w:rFonts w:hint="eastAsia" w:ascii="Times New Roman" w:hAnsi="Times New Roman" w:eastAsia="宋体"/>
          <w:sz w:val="24"/>
          <w:highlight w:val="none"/>
          <w:u w:val="single"/>
        </w:rPr>
        <w:t>）管道保温层及表面涂装施工不得覆盖铭牌。</w:t>
      </w:r>
    </w:p>
    <w:p w14:paraId="0A846BC2">
      <w:pPr>
        <w:snapToGrid w:val="0"/>
        <w:spacing w:line="360" w:lineRule="auto"/>
        <w:ind w:firstLine="480" w:firstLineChars="200"/>
        <w:rPr>
          <w:rFonts w:ascii="Times New Roman" w:hAnsi="Times New Roman" w:eastAsia="宋体"/>
          <w:sz w:val="24"/>
          <w:highlight w:val="none"/>
          <w:u w:val="single"/>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ABE2F">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09616">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009616">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suff w:val="space"/>
      <w:lvlText w:val="第%1章"/>
      <w:lvlJc w:val="left"/>
      <w:pPr>
        <w:ind w:left="182" w:hanging="432"/>
      </w:pPr>
      <w:rPr>
        <w:rFonts w:ascii="Times New Roman" w:hAnsi="Times New Roman" w:cs="Times New Roman"/>
        <w:b/>
        <w:bCs w:val="0"/>
        <w:i w:val="0"/>
        <w:iCs w:val="0"/>
        <w:caps w:val="0"/>
        <w:smallCaps w:val="0"/>
        <w:strike w:val="0"/>
        <w:dstrike w:val="0"/>
        <w:snapToGrid w:val="0"/>
        <w:vanish w:val="0"/>
        <w:color w:val="000000"/>
        <w:spacing w:val="0"/>
        <w:w w:val="0"/>
        <w:kern w:val="0"/>
        <w:position w:val="0"/>
        <w:sz w:val="32"/>
        <w:szCs w:val="0"/>
        <w:u w:val="none"/>
        <w:vertAlign w:val="baseline"/>
        <w14:shadow w14:blurRad="0" w14:dist="0" w14:dir="0" w14:sx="0" w14:sy="0" w14:kx="0" w14:ky="0" w14:algn="none">
          <w14:srgbClr w14:val="000000"/>
        </w14:shadow>
      </w:rPr>
    </w:lvl>
    <w:lvl w:ilvl="1" w:tentative="0">
      <w:start w:val="1"/>
      <w:numFmt w:val="decimal"/>
      <w:suff w:val="space"/>
      <w:lvlText w:val="%1.%2"/>
      <w:lvlJc w:val="left"/>
      <w:pPr>
        <w:ind w:left="576" w:hanging="576"/>
      </w:pPr>
      <w:rPr>
        <w:rFonts w:ascii="Times New Roman" w:hAnsi="Times New Roman" w:cs="Times New Roman"/>
        <w:b/>
        <w:bCs w:val="0"/>
        <w:i w:val="0"/>
        <w:iCs w:val="0"/>
        <w:caps w:val="0"/>
        <w:smallCaps w:val="0"/>
        <w:strike w:val="0"/>
        <w:dstrike w:val="0"/>
        <w:snapToGrid w:val="0"/>
        <w:vanish w:val="0"/>
        <w:color w:val="auto"/>
        <w:spacing w:val="0"/>
        <w:w w:val="0"/>
        <w:kern w:val="0"/>
        <w:position w:val="0"/>
        <w:szCs w:val="0"/>
        <w:u w:val="none"/>
        <w:vertAlign w:val="baseline"/>
        <w14:shadow w14:blurRad="0" w14:dist="0" w14:dir="0" w14:sx="0" w14:sy="0" w14:kx="0" w14:ky="0" w14:algn="none">
          <w14:srgbClr w14:val="000000"/>
        </w14:shadow>
      </w:rPr>
    </w:lvl>
    <w:lvl w:ilvl="2" w:tentative="0">
      <w:start w:val="1"/>
      <w:numFmt w:val="decimal"/>
      <w:pStyle w:val="3"/>
      <w:suff w:val="space"/>
      <w:lvlText w:val="%1.%2.%3"/>
      <w:lvlJc w:val="left"/>
      <w:pPr>
        <w:ind w:left="1004" w:hanging="720"/>
      </w:pPr>
      <w:rPr>
        <w:rFonts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rPr>
    </w:lvl>
    <w:lvl w:ilvl="3" w:tentative="0">
      <w:start w:val="1"/>
      <w:numFmt w:val="decimal"/>
      <w:suff w:val="space"/>
      <w:lvlText w:val="%1.%2.%3.%4"/>
      <w:lvlJc w:val="left"/>
      <w:pPr>
        <w:ind w:left="1040" w:hanging="864"/>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rPr>
    </w:lvl>
    <w:lvl w:ilvl="4" w:tentative="0">
      <w:start w:val="1"/>
      <w:numFmt w:val="decimal"/>
      <w:lvlText w:val="%1.%2.%3.%4.%5"/>
      <w:lvlJc w:val="left"/>
      <w:pPr>
        <w:tabs>
          <w:tab w:val="left" w:pos="758"/>
        </w:tabs>
        <w:ind w:left="758" w:hanging="1008"/>
      </w:pPr>
      <w:rPr>
        <w:rFonts w:hint="eastAsia"/>
      </w:rPr>
    </w:lvl>
    <w:lvl w:ilvl="5" w:tentative="0">
      <w:start w:val="1"/>
      <w:numFmt w:val="decimal"/>
      <w:lvlText w:val="%1.%2.%3.%4.%5.%6"/>
      <w:lvlJc w:val="left"/>
      <w:pPr>
        <w:tabs>
          <w:tab w:val="left" w:pos="902"/>
        </w:tabs>
        <w:ind w:left="902" w:hanging="1152"/>
      </w:pPr>
      <w:rPr>
        <w:rFonts w:hint="eastAsia"/>
      </w:rPr>
    </w:lvl>
    <w:lvl w:ilvl="6" w:tentative="0">
      <w:start w:val="1"/>
      <w:numFmt w:val="decimal"/>
      <w:lvlText w:val="%1.%2.%3.%4.%5.%6.%7"/>
      <w:lvlJc w:val="left"/>
      <w:pPr>
        <w:tabs>
          <w:tab w:val="left" w:pos="1046"/>
        </w:tabs>
        <w:ind w:left="1046" w:hanging="1296"/>
      </w:pPr>
      <w:rPr>
        <w:rFonts w:hint="eastAsia"/>
      </w:rPr>
    </w:lvl>
    <w:lvl w:ilvl="7" w:tentative="0">
      <w:start w:val="1"/>
      <w:numFmt w:val="decimal"/>
      <w:lvlText w:val="%1.%2.%3.%4.%5.%6.%7.%8"/>
      <w:lvlJc w:val="left"/>
      <w:pPr>
        <w:tabs>
          <w:tab w:val="left" w:pos="1190"/>
        </w:tabs>
        <w:ind w:left="1190" w:hanging="1440"/>
      </w:pPr>
      <w:rPr>
        <w:rFonts w:hint="eastAsia"/>
      </w:rPr>
    </w:lvl>
    <w:lvl w:ilvl="8" w:tentative="0">
      <w:start w:val="1"/>
      <w:numFmt w:val="decimal"/>
      <w:lvlText w:val="%1.%2.%3.%4.%5.%6.%7.%8.%9"/>
      <w:lvlJc w:val="left"/>
      <w:pPr>
        <w:tabs>
          <w:tab w:val="left" w:pos="1334"/>
        </w:tabs>
        <w:ind w:left="1334" w:hanging="1584"/>
      </w:pPr>
      <w:rPr>
        <w:rFonts w:hint="eastAsia"/>
      </w:rPr>
    </w:lvl>
  </w:abstractNum>
  <w:abstractNum w:abstractNumId="1">
    <w:nsid w:val="24ED4CE8"/>
    <w:multiLevelType w:val="multilevel"/>
    <w:tmpl w:val="24ED4CE8"/>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kYTU5NzMyZjhmNzM0YWE3NmU1YzQ3MjA0YjM3ZjgifQ=="/>
  </w:docVars>
  <w:rsids>
    <w:rsidRoot w:val="00172A27"/>
    <w:rsid w:val="00002EF9"/>
    <w:rsid w:val="000035D5"/>
    <w:rsid w:val="00003648"/>
    <w:rsid w:val="00003BB1"/>
    <w:rsid w:val="000041DD"/>
    <w:rsid w:val="0000447D"/>
    <w:rsid w:val="00013FE8"/>
    <w:rsid w:val="00014389"/>
    <w:rsid w:val="00014E8F"/>
    <w:rsid w:val="00015D53"/>
    <w:rsid w:val="00016F0E"/>
    <w:rsid w:val="00022B21"/>
    <w:rsid w:val="000245AE"/>
    <w:rsid w:val="0002478C"/>
    <w:rsid w:val="00027A72"/>
    <w:rsid w:val="00027B2C"/>
    <w:rsid w:val="0003056F"/>
    <w:rsid w:val="00031F32"/>
    <w:rsid w:val="000320E0"/>
    <w:rsid w:val="00032A14"/>
    <w:rsid w:val="00034EB9"/>
    <w:rsid w:val="00035FB3"/>
    <w:rsid w:val="000372A0"/>
    <w:rsid w:val="000401E8"/>
    <w:rsid w:val="000406D4"/>
    <w:rsid w:val="0004221E"/>
    <w:rsid w:val="00042B42"/>
    <w:rsid w:val="00042FC0"/>
    <w:rsid w:val="00043608"/>
    <w:rsid w:val="00043F04"/>
    <w:rsid w:val="00044CEB"/>
    <w:rsid w:val="000454B9"/>
    <w:rsid w:val="00045FCE"/>
    <w:rsid w:val="00046C30"/>
    <w:rsid w:val="00047D32"/>
    <w:rsid w:val="000560DB"/>
    <w:rsid w:val="00056916"/>
    <w:rsid w:val="00057CF1"/>
    <w:rsid w:val="00060C5C"/>
    <w:rsid w:val="0006263D"/>
    <w:rsid w:val="000629CB"/>
    <w:rsid w:val="00065D65"/>
    <w:rsid w:val="0006691D"/>
    <w:rsid w:val="00067EFF"/>
    <w:rsid w:val="00067F27"/>
    <w:rsid w:val="00067F95"/>
    <w:rsid w:val="00070676"/>
    <w:rsid w:val="00070C58"/>
    <w:rsid w:val="00070C8E"/>
    <w:rsid w:val="00072995"/>
    <w:rsid w:val="000729AA"/>
    <w:rsid w:val="0007401D"/>
    <w:rsid w:val="00080025"/>
    <w:rsid w:val="00080ABD"/>
    <w:rsid w:val="00083CF3"/>
    <w:rsid w:val="000862F6"/>
    <w:rsid w:val="0009024F"/>
    <w:rsid w:val="000902B0"/>
    <w:rsid w:val="0009081B"/>
    <w:rsid w:val="000924E3"/>
    <w:rsid w:val="0009450A"/>
    <w:rsid w:val="000946B3"/>
    <w:rsid w:val="000A07D3"/>
    <w:rsid w:val="000A1C4A"/>
    <w:rsid w:val="000A38DB"/>
    <w:rsid w:val="000A3B66"/>
    <w:rsid w:val="000A7501"/>
    <w:rsid w:val="000A76B2"/>
    <w:rsid w:val="000A7E91"/>
    <w:rsid w:val="000B1937"/>
    <w:rsid w:val="000B3A9E"/>
    <w:rsid w:val="000B400F"/>
    <w:rsid w:val="000B47D7"/>
    <w:rsid w:val="000B4986"/>
    <w:rsid w:val="000B5027"/>
    <w:rsid w:val="000B787B"/>
    <w:rsid w:val="000C04CF"/>
    <w:rsid w:val="000C1191"/>
    <w:rsid w:val="000C2C45"/>
    <w:rsid w:val="000C2E07"/>
    <w:rsid w:val="000C35E8"/>
    <w:rsid w:val="000C3A0E"/>
    <w:rsid w:val="000C5BF1"/>
    <w:rsid w:val="000C5E5B"/>
    <w:rsid w:val="000D12BE"/>
    <w:rsid w:val="000D1517"/>
    <w:rsid w:val="000D15C8"/>
    <w:rsid w:val="000D187B"/>
    <w:rsid w:val="000D268B"/>
    <w:rsid w:val="000D3434"/>
    <w:rsid w:val="000D567F"/>
    <w:rsid w:val="000D793A"/>
    <w:rsid w:val="000D7B45"/>
    <w:rsid w:val="000D7BA9"/>
    <w:rsid w:val="000E0064"/>
    <w:rsid w:val="000E0446"/>
    <w:rsid w:val="000E05EB"/>
    <w:rsid w:val="000E2BFA"/>
    <w:rsid w:val="000E2F41"/>
    <w:rsid w:val="000E3153"/>
    <w:rsid w:val="000E62E8"/>
    <w:rsid w:val="000F0901"/>
    <w:rsid w:val="000F36B7"/>
    <w:rsid w:val="000F3810"/>
    <w:rsid w:val="000F4811"/>
    <w:rsid w:val="000F5D8B"/>
    <w:rsid w:val="00100B60"/>
    <w:rsid w:val="001036EF"/>
    <w:rsid w:val="00114DAB"/>
    <w:rsid w:val="00120585"/>
    <w:rsid w:val="001205B9"/>
    <w:rsid w:val="001210C6"/>
    <w:rsid w:val="00121ECD"/>
    <w:rsid w:val="00123666"/>
    <w:rsid w:val="00124231"/>
    <w:rsid w:val="001243C4"/>
    <w:rsid w:val="00125357"/>
    <w:rsid w:val="00125764"/>
    <w:rsid w:val="00126EB8"/>
    <w:rsid w:val="00130534"/>
    <w:rsid w:val="001305E0"/>
    <w:rsid w:val="00134388"/>
    <w:rsid w:val="00134E25"/>
    <w:rsid w:val="001359A4"/>
    <w:rsid w:val="00137BC4"/>
    <w:rsid w:val="0014023B"/>
    <w:rsid w:val="0014049D"/>
    <w:rsid w:val="0014110D"/>
    <w:rsid w:val="0014115C"/>
    <w:rsid w:val="00141A43"/>
    <w:rsid w:val="0014490C"/>
    <w:rsid w:val="00145659"/>
    <w:rsid w:val="00145A36"/>
    <w:rsid w:val="001507B8"/>
    <w:rsid w:val="00155EFC"/>
    <w:rsid w:val="0016019F"/>
    <w:rsid w:val="001639A7"/>
    <w:rsid w:val="00164073"/>
    <w:rsid w:val="00165A2B"/>
    <w:rsid w:val="0016612A"/>
    <w:rsid w:val="00166FDA"/>
    <w:rsid w:val="00167F4D"/>
    <w:rsid w:val="00170EA3"/>
    <w:rsid w:val="001716A9"/>
    <w:rsid w:val="00171E0F"/>
    <w:rsid w:val="00172A27"/>
    <w:rsid w:val="00174C11"/>
    <w:rsid w:val="00175DB3"/>
    <w:rsid w:val="00176EFB"/>
    <w:rsid w:val="0018070C"/>
    <w:rsid w:val="00184904"/>
    <w:rsid w:val="00186741"/>
    <w:rsid w:val="001872E3"/>
    <w:rsid w:val="001875D9"/>
    <w:rsid w:val="00193711"/>
    <w:rsid w:val="00193A73"/>
    <w:rsid w:val="00196492"/>
    <w:rsid w:val="00196916"/>
    <w:rsid w:val="00197ACE"/>
    <w:rsid w:val="001A0083"/>
    <w:rsid w:val="001A0F0D"/>
    <w:rsid w:val="001A45A2"/>
    <w:rsid w:val="001A4A6A"/>
    <w:rsid w:val="001A688C"/>
    <w:rsid w:val="001B06EE"/>
    <w:rsid w:val="001B0720"/>
    <w:rsid w:val="001B2693"/>
    <w:rsid w:val="001B2D88"/>
    <w:rsid w:val="001B54F9"/>
    <w:rsid w:val="001B5DB8"/>
    <w:rsid w:val="001B7020"/>
    <w:rsid w:val="001B7CD4"/>
    <w:rsid w:val="001C04F2"/>
    <w:rsid w:val="001C0533"/>
    <w:rsid w:val="001C1C7A"/>
    <w:rsid w:val="001C365C"/>
    <w:rsid w:val="001C56EC"/>
    <w:rsid w:val="001C7E55"/>
    <w:rsid w:val="001D0B1E"/>
    <w:rsid w:val="001D19CD"/>
    <w:rsid w:val="001D1F6C"/>
    <w:rsid w:val="001D2120"/>
    <w:rsid w:val="001D246F"/>
    <w:rsid w:val="001D2B80"/>
    <w:rsid w:val="001D4748"/>
    <w:rsid w:val="001D533F"/>
    <w:rsid w:val="001D694B"/>
    <w:rsid w:val="001E105B"/>
    <w:rsid w:val="001E2497"/>
    <w:rsid w:val="001E4AAF"/>
    <w:rsid w:val="001E4B2C"/>
    <w:rsid w:val="001E544E"/>
    <w:rsid w:val="001E56DA"/>
    <w:rsid w:val="001E609D"/>
    <w:rsid w:val="001E6E1E"/>
    <w:rsid w:val="001E742F"/>
    <w:rsid w:val="001F12DF"/>
    <w:rsid w:val="001F1C09"/>
    <w:rsid w:val="001F28C6"/>
    <w:rsid w:val="001F3B21"/>
    <w:rsid w:val="001F3FB1"/>
    <w:rsid w:val="001F419F"/>
    <w:rsid w:val="001F4207"/>
    <w:rsid w:val="001F529D"/>
    <w:rsid w:val="001F6C84"/>
    <w:rsid w:val="001F72DF"/>
    <w:rsid w:val="00200934"/>
    <w:rsid w:val="00200AD1"/>
    <w:rsid w:val="00201FBE"/>
    <w:rsid w:val="00202736"/>
    <w:rsid w:val="00203165"/>
    <w:rsid w:val="00203DF8"/>
    <w:rsid w:val="002040DE"/>
    <w:rsid w:val="00205F31"/>
    <w:rsid w:val="00210D88"/>
    <w:rsid w:val="00212F1D"/>
    <w:rsid w:val="0021321A"/>
    <w:rsid w:val="0021377E"/>
    <w:rsid w:val="002139CA"/>
    <w:rsid w:val="002222D8"/>
    <w:rsid w:val="0022241D"/>
    <w:rsid w:val="002238DC"/>
    <w:rsid w:val="00223A6E"/>
    <w:rsid w:val="00224E16"/>
    <w:rsid w:val="00226264"/>
    <w:rsid w:val="00226BBE"/>
    <w:rsid w:val="002304C0"/>
    <w:rsid w:val="002319EB"/>
    <w:rsid w:val="0023285B"/>
    <w:rsid w:val="00232C8A"/>
    <w:rsid w:val="002331DF"/>
    <w:rsid w:val="00233A3E"/>
    <w:rsid w:val="00237B66"/>
    <w:rsid w:val="00244B6C"/>
    <w:rsid w:val="00250CA5"/>
    <w:rsid w:val="00253CE8"/>
    <w:rsid w:val="00255F6D"/>
    <w:rsid w:val="00256206"/>
    <w:rsid w:val="002566AA"/>
    <w:rsid w:val="002573DC"/>
    <w:rsid w:val="00257D40"/>
    <w:rsid w:val="002602FC"/>
    <w:rsid w:val="00260C95"/>
    <w:rsid w:val="00261B0A"/>
    <w:rsid w:val="00263F2B"/>
    <w:rsid w:val="0026550B"/>
    <w:rsid w:val="002706DD"/>
    <w:rsid w:val="0027491A"/>
    <w:rsid w:val="00274FC5"/>
    <w:rsid w:val="00276646"/>
    <w:rsid w:val="00277479"/>
    <w:rsid w:val="00281BD4"/>
    <w:rsid w:val="002849C6"/>
    <w:rsid w:val="00284C1F"/>
    <w:rsid w:val="00285661"/>
    <w:rsid w:val="00294CBF"/>
    <w:rsid w:val="00294F1F"/>
    <w:rsid w:val="00296D61"/>
    <w:rsid w:val="002A2EB5"/>
    <w:rsid w:val="002A3C49"/>
    <w:rsid w:val="002A4017"/>
    <w:rsid w:val="002A42C9"/>
    <w:rsid w:val="002A6993"/>
    <w:rsid w:val="002A699D"/>
    <w:rsid w:val="002A7E66"/>
    <w:rsid w:val="002B1196"/>
    <w:rsid w:val="002B41A5"/>
    <w:rsid w:val="002B5D79"/>
    <w:rsid w:val="002B764C"/>
    <w:rsid w:val="002B777B"/>
    <w:rsid w:val="002C06C3"/>
    <w:rsid w:val="002C0B88"/>
    <w:rsid w:val="002C0DCC"/>
    <w:rsid w:val="002C29D9"/>
    <w:rsid w:val="002C422E"/>
    <w:rsid w:val="002C4552"/>
    <w:rsid w:val="002C6FA6"/>
    <w:rsid w:val="002C72D4"/>
    <w:rsid w:val="002C77BF"/>
    <w:rsid w:val="002D1092"/>
    <w:rsid w:val="002D2BF3"/>
    <w:rsid w:val="002D3544"/>
    <w:rsid w:val="002D46FC"/>
    <w:rsid w:val="002D5833"/>
    <w:rsid w:val="002D7F87"/>
    <w:rsid w:val="002E019B"/>
    <w:rsid w:val="002E69E6"/>
    <w:rsid w:val="002E6D49"/>
    <w:rsid w:val="002F2C2D"/>
    <w:rsid w:val="002F2F4A"/>
    <w:rsid w:val="002F477C"/>
    <w:rsid w:val="002F63C4"/>
    <w:rsid w:val="002F7F66"/>
    <w:rsid w:val="00301997"/>
    <w:rsid w:val="00306283"/>
    <w:rsid w:val="00306441"/>
    <w:rsid w:val="00310E27"/>
    <w:rsid w:val="003114D6"/>
    <w:rsid w:val="00314345"/>
    <w:rsid w:val="00316758"/>
    <w:rsid w:val="00316AE4"/>
    <w:rsid w:val="00316D55"/>
    <w:rsid w:val="0031767E"/>
    <w:rsid w:val="00321C5C"/>
    <w:rsid w:val="003266EF"/>
    <w:rsid w:val="00327E7C"/>
    <w:rsid w:val="00331FC2"/>
    <w:rsid w:val="00332228"/>
    <w:rsid w:val="00332FC0"/>
    <w:rsid w:val="00335E98"/>
    <w:rsid w:val="0034336B"/>
    <w:rsid w:val="00343A3A"/>
    <w:rsid w:val="0034513B"/>
    <w:rsid w:val="003460A6"/>
    <w:rsid w:val="0034616E"/>
    <w:rsid w:val="00350E01"/>
    <w:rsid w:val="003529E3"/>
    <w:rsid w:val="00354B3B"/>
    <w:rsid w:val="00357255"/>
    <w:rsid w:val="00357670"/>
    <w:rsid w:val="00357855"/>
    <w:rsid w:val="00357ED1"/>
    <w:rsid w:val="003603ED"/>
    <w:rsid w:val="00361FEB"/>
    <w:rsid w:val="00367A82"/>
    <w:rsid w:val="00367EA0"/>
    <w:rsid w:val="0037135B"/>
    <w:rsid w:val="00372ADB"/>
    <w:rsid w:val="0037336C"/>
    <w:rsid w:val="0037365D"/>
    <w:rsid w:val="00380143"/>
    <w:rsid w:val="0038144A"/>
    <w:rsid w:val="00382022"/>
    <w:rsid w:val="003822A4"/>
    <w:rsid w:val="00383A7F"/>
    <w:rsid w:val="00384020"/>
    <w:rsid w:val="00384153"/>
    <w:rsid w:val="00387662"/>
    <w:rsid w:val="0039297D"/>
    <w:rsid w:val="00392C7E"/>
    <w:rsid w:val="0039386C"/>
    <w:rsid w:val="003944CE"/>
    <w:rsid w:val="00394C78"/>
    <w:rsid w:val="003967D5"/>
    <w:rsid w:val="003A120B"/>
    <w:rsid w:val="003A1E74"/>
    <w:rsid w:val="003A27F6"/>
    <w:rsid w:val="003A28CA"/>
    <w:rsid w:val="003A3B7A"/>
    <w:rsid w:val="003A3F9C"/>
    <w:rsid w:val="003A713F"/>
    <w:rsid w:val="003A7ECC"/>
    <w:rsid w:val="003B06CB"/>
    <w:rsid w:val="003B2B23"/>
    <w:rsid w:val="003B3DCD"/>
    <w:rsid w:val="003B460C"/>
    <w:rsid w:val="003B6032"/>
    <w:rsid w:val="003B6274"/>
    <w:rsid w:val="003B6F93"/>
    <w:rsid w:val="003C0281"/>
    <w:rsid w:val="003C0C38"/>
    <w:rsid w:val="003C17C5"/>
    <w:rsid w:val="003C4845"/>
    <w:rsid w:val="003C552A"/>
    <w:rsid w:val="003C57D7"/>
    <w:rsid w:val="003C7442"/>
    <w:rsid w:val="003D0215"/>
    <w:rsid w:val="003D0FF0"/>
    <w:rsid w:val="003D2683"/>
    <w:rsid w:val="003D294C"/>
    <w:rsid w:val="003D30CF"/>
    <w:rsid w:val="003D7647"/>
    <w:rsid w:val="003E03CE"/>
    <w:rsid w:val="003E095F"/>
    <w:rsid w:val="003E18AF"/>
    <w:rsid w:val="003E38F9"/>
    <w:rsid w:val="003E400A"/>
    <w:rsid w:val="003E5081"/>
    <w:rsid w:val="003E67E9"/>
    <w:rsid w:val="003E67ED"/>
    <w:rsid w:val="003E6871"/>
    <w:rsid w:val="003E706C"/>
    <w:rsid w:val="003E74B9"/>
    <w:rsid w:val="003F1F5A"/>
    <w:rsid w:val="003F39A1"/>
    <w:rsid w:val="003F5446"/>
    <w:rsid w:val="003F6A78"/>
    <w:rsid w:val="003F6DCC"/>
    <w:rsid w:val="003F724B"/>
    <w:rsid w:val="003F73EF"/>
    <w:rsid w:val="003F789D"/>
    <w:rsid w:val="00400887"/>
    <w:rsid w:val="004023E3"/>
    <w:rsid w:val="004025AB"/>
    <w:rsid w:val="00402CD3"/>
    <w:rsid w:val="0040362E"/>
    <w:rsid w:val="0040368B"/>
    <w:rsid w:val="00405ECE"/>
    <w:rsid w:val="0041014B"/>
    <w:rsid w:val="00410549"/>
    <w:rsid w:val="004110C0"/>
    <w:rsid w:val="00413663"/>
    <w:rsid w:val="00415876"/>
    <w:rsid w:val="0041598E"/>
    <w:rsid w:val="004163D4"/>
    <w:rsid w:val="00417C10"/>
    <w:rsid w:val="0042675B"/>
    <w:rsid w:val="00427F62"/>
    <w:rsid w:val="004301C5"/>
    <w:rsid w:val="0043101A"/>
    <w:rsid w:val="00432D51"/>
    <w:rsid w:val="004343B7"/>
    <w:rsid w:val="00434B09"/>
    <w:rsid w:val="004354BE"/>
    <w:rsid w:val="00435AA5"/>
    <w:rsid w:val="0043794B"/>
    <w:rsid w:val="00440B7E"/>
    <w:rsid w:val="00440E63"/>
    <w:rsid w:val="0044269B"/>
    <w:rsid w:val="0044357F"/>
    <w:rsid w:val="00445059"/>
    <w:rsid w:val="00445349"/>
    <w:rsid w:val="00450BB2"/>
    <w:rsid w:val="00450FAD"/>
    <w:rsid w:val="00451B48"/>
    <w:rsid w:val="00451DBC"/>
    <w:rsid w:val="0045474E"/>
    <w:rsid w:val="00455905"/>
    <w:rsid w:val="00455CC0"/>
    <w:rsid w:val="00456C4C"/>
    <w:rsid w:val="00456C76"/>
    <w:rsid w:val="004612F1"/>
    <w:rsid w:val="00461D1C"/>
    <w:rsid w:val="00462029"/>
    <w:rsid w:val="00462D72"/>
    <w:rsid w:val="00463A5D"/>
    <w:rsid w:val="00464B97"/>
    <w:rsid w:val="00464DAB"/>
    <w:rsid w:val="00466658"/>
    <w:rsid w:val="00467295"/>
    <w:rsid w:val="004712F4"/>
    <w:rsid w:val="004718B2"/>
    <w:rsid w:val="00472D0D"/>
    <w:rsid w:val="00473624"/>
    <w:rsid w:val="00473830"/>
    <w:rsid w:val="004739C3"/>
    <w:rsid w:val="00473CAE"/>
    <w:rsid w:val="00475A1E"/>
    <w:rsid w:val="00481360"/>
    <w:rsid w:val="00481950"/>
    <w:rsid w:val="004840CD"/>
    <w:rsid w:val="00485522"/>
    <w:rsid w:val="00485AA2"/>
    <w:rsid w:val="0048682B"/>
    <w:rsid w:val="00490379"/>
    <w:rsid w:val="00490C4F"/>
    <w:rsid w:val="0049364D"/>
    <w:rsid w:val="00493B21"/>
    <w:rsid w:val="004942B5"/>
    <w:rsid w:val="00495454"/>
    <w:rsid w:val="00496045"/>
    <w:rsid w:val="004960E7"/>
    <w:rsid w:val="004A0491"/>
    <w:rsid w:val="004A27C2"/>
    <w:rsid w:val="004A2EC4"/>
    <w:rsid w:val="004A4BE5"/>
    <w:rsid w:val="004A5DCB"/>
    <w:rsid w:val="004A7012"/>
    <w:rsid w:val="004B1EC1"/>
    <w:rsid w:val="004C070A"/>
    <w:rsid w:val="004C0FF4"/>
    <w:rsid w:val="004C43D6"/>
    <w:rsid w:val="004C6C7A"/>
    <w:rsid w:val="004C7D33"/>
    <w:rsid w:val="004D0748"/>
    <w:rsid w:val="004D0960"/>
    <w:rsid w:val="004D6829"/>
    <w:rsid w:val="004D749B"/>
    <w:rsid w:val="004E3CB3"/>
    <w:rsid w:val="004E5636"/>
    <w:rsid w:val="004E5A9A"/>
    <w:rsid w:val="004E6A25"/>
    <w:rsid w:val="004E72DA"/>
    <w:rsid w:val="004E7B9F"/>
    <w:rsid w:val="004F001A"/>
    <w:rsid w:val="004F3A82"/>
    <w:rsid w:val="004F511A"/>
    <w:rsid w:val="004F56B3"/>
    <w:rsid w:val="004F649F"/>
    <w:rsid w:val="004F67F9"/>
    <w:rsid w:val="004F7F90"/>
    <w:rsid w:val="0050068E"/>
    <w:rsid w:val="0050369E"/>
    <w:rsid w:val="005041D9"/>
    <w:rsid w:val="00510125"/>
    <w:rsid w:val="00512395"/>
    <w:rsid w:val="00512AB2"/>
    <w:rsid w:val="00512DF4"/>
    <w:rsid w:val="005132DB"/>
    <w:rsid w:val="005143DF"/>
    <w:rsid w:val="00515406"/>
    <w:rsid w:val="00515713"/>
    <w:rsid w:val="005170F1"/>
    <w:rsid w:val="005177FA"/>
    <w:rsid w:val="00521269"/>
    <w:rsid w:val="0052133A"/>
    <w:rsid w:val="00521AB9"/>
    <w:rsid w:val="00522A9D"/>
    <w:rsid w:val="00526391"/>
    <w:rsid w:val="00533875"/>
    <w:rsid w:val="00533BEF"/>
    <w:rsid w:val="00535209"/>
    <w:rsid w:val="00535C6A"/>
    <w:rsid w:val="0054075C"/>
    <w:rsid w:val="005409D5"/>
    <w:rsid w:val="0054131B"/>
    <w:rsid w:val="00541C05"/>
    <w:rsid w:val="00542E1A"/>
    <w:rsid w:val="0054325A"/>
    <w:rsid w:val="0054487A"/>
    <w:rsid w:val="00544B08"/>
    <w:rsid w:val="00545584"/>
    <w:rsid w:val="00546CDD"/>
    <w:rsid w:val="005500AA"/>
    <w:rsid w:val="0055209A"/>
    <w:rsid w:val="005526A7"/>
    <w:rsid w:val="005527F5"/>
    <w:rsid w:val="005538C6"/>
    <w:rsid w:val="0055508E"/>
    <w:rsid w:val="00555154"/>
    <w:rsid w:val="00556A87"/>
    <w:rsid w:val="005574CD"/>
    <w:rsid w:val="00562011"/>
    <w:rsid w:val="00571481"/>
    <w:rsid w:val="00571CE9"/>
    <w:rsid w:val="00573020"/>
    <w:rsid w:val="00573B99"/>
    <w:rsid w:val="00577554"/>
    <w:rsid w:val="00577F5D"/>
    <w:rsid w:val="00581854"/>
    <w:rsid w:val="00581E2D"/>
    <w:rsid w:val="0058439E"/>
    <w:rsid w:val="00587D2A"/>
    <w:rsid w:val="0059037B"/>
    <w:rsid w:val="005904BC"/>
    <w:rsid w:val="005905F5"/>
    <w:rsid w:val="00591409"/>
    <w:rsid w:val="00592B87"/>
    <w:rsid w:val="00592E45"/>
    <w:rsid w:val="00593B81"/>
    <w:rsid w:val="00593F7B"/>
    <w:rsid w:val="0059560A"/>
    <w:rsid w:val="005A17B8"/>
    <w:rsid w:val="005A25D4"/>
    <w:rsid w:val="005A3798"/>
    <w:rsid w:val="005A640C"/>
    <w:rsid w:val="005B0E09"/>
    <w:rsid w:val="005B21F3"/>
    <w:rsid w:val="005B2A5A"/>
    <w:rsid w:val="005B4F70"/>
    <w:rsid w:val="005B7B13"/>
    <w:rsid w:val="005C0473"/>
    <w:rsid w:val="005C2606"/>
    <w:rsid w:val="005C3CCC"/>
    <w:rsid w:val="005C48C4"/>
    <w:rsid w:val="005C4EDE"/>
    <w:rsid w:val="005C67F9"/>
    <w:rsid w:val="005C6B8A"/>
    <w:rsid w:val="005D10F5"/>
    <w:rsid w:val="005D2D7D"/>
    <w:rsid w:val="005D3B69"/>
    <w:rsid w:val="005D44F7"/>
    <w:rsid w:val="005D57B2"/>
    <w:rsid w:val="005D5DA0"/>
    <w:rsid w:val="005D7CF6"/>
    <w:rsid w:val="005E0A74"/>
    <w:rsid w:val="005E0DEA"/>
    <w:rsid w:val="005E13D8"/>
    <w:rsid w:val="005E1A6B"/>
    <w:rsid w:val="005E2EA9"/>
    <w:rsid w:val="005E456B"/>
    <w:rsid w:val="005E558F"/>
    <w:rsid w:val="005E606F"/>
    <w:rsid w:val="005E6E5C"/>
    <w:rsid w:val="005F0A5B"/>
    <w:rsid w:val="005F0FCD"/>
    <w:rsid w:val="005F3F41"/>
    <w:rsid w:val="00600B83"/>
    <w:rsid w:val="006011C5"/>
    <w:rsid w:val="006039E6"/>
    <w:rsid w:val="00603CE3"/>
    <w:rsid w:val="0060545D"/>
    <w:rsid w:val="00605A79"/>
    <w:rsid w:val="00607F2A"/>
    <w:rsid w:val="00607FD0"/>
    <w:rsid w:val="00611197"/>
    <w:rsid w:val="00611DA5"/>
    <w:rsid w:val="00613096"/>
    <w:rsid w:val="00613F7B"/>
    <w:rsid w:val="006142EB"/>
    <w:rsid w:val="00615390"/>
    <w:rsid w:val="00620D8B"/>
    <w:rsid w:val="00621BF5"/>
    <w:rsid w:val="00622D79"/>
    <w:rsid w:val="006247CA"/>
    <w:rsid w:val="00625D1E"/>
    <w:rsid w:val="006277C2"/>
    <w:rsid w:val="006301D1"/>
    <w:rsid w:val="006317ED"/>
    <w:rsid w:val="00631E09"/>
    <w:rsid w:val="00632300"/>
    <w:rsid w:val="0063273C"/>
    <w:rsid w:val="00634565"/>
    <w:rsid w:val="006356D7"/>
    <w:rsid w:val="006358F3"/>
    <w:rsid w:val="006370EA"/>
    <w:rsid w:val="006377B3"/>
    <w:rsid w:val="00640C5D"/>
    <w:rsid w:val="0064128B"/>
    <w:rsid w:val="00643AA9"/>
    <w:rsid w:val="00644D8F"/>
    <w:rsid w:val="006462CB"/>
    <w:rsid w:val="00646E39"/>
    <w:rsid w:val="006475B9"/>
    <w:rsid w:val="00647A78"/>
    <w:rsid w:val="00650391"/>
    <w:rsid w:val="006540A2"/>
    <w:rsid w:val="00654296"/>
    <w:rsid w:val="0065569E"/>
    <w:rsid w:val="00664289"/>
    <w:rsid w:val="00664A52"/>
    <w:rsid w:val="00665953"/>
    <w:rsid w:val="00666ACC"/>
    <w:rsid w:val="00667017"/>
    <w:rsid w:val="006673BB"/>
    <w:rsid w:val="00670882"/>
    <w:rsid w:val="00673C89"/>
    <w:rsid w:val="006753CE"/>
    <w:rsid w:val="00677304"/>
    <w:rsid w:val="00684CF4"/>
    <w:rsid w:val="00684CF9"/>
    <w:rsid w:val="006918B6"/>
    <w:rsid w:val="006932A9"/>
    <w:rsid w:val="00694883"/>
    <w:rsid w:val="00695E50"/>
    <w:rsid w:val="00695E6C"/>
    <w:rsid w:val="00696EF7"/>
    <w:rsid w:val="006975EF"/>
    <w:rsid w:val="006976A0"/>
    <w:rsid w:val="006A106C"/>
    <w:rsid w:val="006A1A36"/>
    <w:rsid w:val="006A1F0B"/>
    <w:rsid w:val="006A2657"/>
    <w:rsid w:val="006A3143"/>
    <w:rsid w:val="006A3391"/>
    <w:rsid w:val="006A3D8E"/>
    <w:rsid w:val="006A42E2"/>
    <w:rsid w:val="006A53E6"/>
    <w:rsid w:val="006A54BD"/>
    <w:rsid w:val="006B3F8E"/>
    <w:rsid w:val="006B4E95"/>
    <w:rsid w:val="006B55C4"/>
    <w:rsid w:val="006B6126"/>
    <w:rsid w:val="006C2DC1"/>
    <w:rsid w:val="006C2DF5"/>
    <w:rsid w:val="006C3D60"/>
    <w:rsid w:val="006C69DE"/>
    <w:rsid w:val="006D035B"/>
    <w:rsid w:val="006D06B9"/>
    <w:rsid w:val="006D3194"/>
    <w:rsid w:val="006D4BCA"/>
    <w:rsid w:val="006D5B79"/>
    <w:rsid w:val="006D69BB"/>
    <w:rsid w:val="006D7006"/>
    <w:rsid w:val="006D78D6"/>
    <w:rsid w:val="006D7EFD"/>
    <w:rsid w:val="006E288F"/>
    <w:rsid w:val="006E6524"/>
    <w:rsid w:val="006F1266"/>
    <w:rsid w:val="006F3B9C"/>
    <w:rsid w:val="006F44BF"/>
    <w:rsid w:val="006F4FDE"/>
    <w:rsid w:val="006F5006"/>
    <w:rsid w:val="006F6D6D"/>
    <w:rsid w:val="006F7AF8"/>
    <w:rsid w:val="00700177"/>
    <w:rsid w:val="007004E7"/>
    <w:rsid w:val="007007D0"/>
    <w:rsid w:val="00702046"/>
    <w:rsid w:val="00702059"/>
    <w:rsid w:val="00702792"/>
    <w:rsid w:val="00702C08"/>
    <w:rsid w:val="007039D7"/>
    <w:rsid w:val="00703A37"/>
    <w:rsid w:val="0070565A"/>
    <w:rsid w:val="00706372"/>
    <w:rsid w:val="00711ED0"/>
    <w:rsid w:val="007129AC"/>
    <w:rsid w:val="00715D0F"/>
    <w:rsid w:val="00715E63"/>
    <w:rsid w:val="00716722"/>
    <w:rsid w:val="00716806"/>
    <w:rsid w:val="00716CCA"/>
    <w:rsid w:val="007170EF"/>
    <w:rsid w:val="00721B47"/>
    <w:rsid w:val="00722D4B"/>
    <w:rsid w:val="00723514"/>
    <w:rsid w:val="0072373B"/>
    <w:rsid w:val="00725EF0"/>
    <w:rsid w:val="00726CAA"/>
    <w:rsid w:val="00730037"/>
    <w:rsid w:val="007307B6"/>
    <w:rsid w:val="00730DFC"/>
    <w:rsid w:val="0073206E"/>
    <w:rsid w:val="00732B99"/>
    <w:rsid w:val="0073441B"/>
    <w:rsid w:val="00735D15"/>
    <w:rsid w:val="007360A1"/>
    <w:rsid w:val="0074004A"/>
    <w:rsid w:val="00744D38"/>
    <w:rsid w:val="00745A61"/>
    <w:rsid w:val="00745AD8"/>
    <w:rsid w:val="007469E9"/>
    <w:rsid w:val="007506F9"/>
    <w:rsid w:val="007510B5"/>
    <w:rsid w:val="00752D68"/>
    <w:rsid w:val="007531F9"/>
    <w:rsid w:val="00754472"/>
    <w:rsid w:val="007568D5"/>
    <w:rsid w:val="007573A9"/>
    <w:rsid w:val="00761E09"/>
    <w:rsid w:val="00764A3F"/>
    <w:rsid w:val="0076668F"/>
    <w:rsid w:val="00766F2F"/>
    <w:rsid w:val="00770123"/>
    <w:rsid w:val="007713B6"/>
    <w:rsid w:val="007716FC"/>
    <w:rsid w:val="00771A13"/>
    <w:rsid w:val="007742E8"/>
    <w:rsid w:val="007744FA"/>
    <w:rsid w:val="0077564B"/>
    <w:rsid w:val="00776FF1"/>
    <w:rsid w:val="0078059B"/>
    <w:rsid w:val="00781CE5"/>
    <w:rsid w:val="007820F3"/>
    <w:rsid w:val="007833ED"/>
    <w:rsid w:val="00785C60"/>
    <w:rsid w:val="0079017E"/>
    <w:rsid w:val="0079018A"/>
    <w:rsid w:val="00790750"/>
    <w:rsid w:val="00791111"/>
    <w:rsid w:val="00791989"/>
    <w:rsid w:val="00791EA6"/>
    <w:rsid w:val="00794BEE"/>
    <w:rsid w:val="00797005"/>
    <w:rsid w:val="007A04FC"/>
    <w:rsid w:val="007A07E6"/>
    <w:rsid w:val="007A5437"/>
    <w:rsid w:val="007A6D8F"/>
    <w:rsid w:val="007A6EA9"/>
    <w:rsid w:val="007B15E9"/>
    <w:rsid w:val="007B1EF4"/>
    <w:rsid w:val="007B3743"/>
    <w:rsid w:val="007B4199"/>
    <w:rsid w:val="007B4D40"/>
    <w:rsid w:val="007C07F1"/>
    <w:rsid w:val="007C193B"/>
    <w:rsid w:val="007C4CEB"/>
    <w:rsid w:val="007C6D71"/>
    <w:rsid w:val="007C752E"/>
    <w:rsid w:val="007D042C"/>
    <w:rsid w:val="007D2916"/>
    <w:rsid w:val="007D36C3"/>
    <w:rsid w:val="007D3DDF"/>
    <w:rsid w:val="007D46B2"/>
    <w:rsid w:val="007D61DC"/>
    <w:rsid w:val="007D681F"/>
    <w:rsid w:val="007E0467"/>
    <w:rsid w:val="007E1575"/>
    <w:rsid w:val="007E31D8"/>
    <w:rsid w:val="007E4150"/>
    <w:rsid w:val="007E5EEB"/>
    <w:rsid w:val="007E6E64"/>
    <w:rsid w:val="007F2060"/>
    <w:rsid w:val="007F3DD1"/>
    <w:rsid w:val="007F54CE"/>
    <w:rsid w:val="007F6580"/>
    <w:rsid w:val="00801A21"/>
    <w:rsid w:val="00802012"/>
    <w:rsid w:val="00803480"/>
    <w:rsid w:val="00810FD7"/>
    <w:rsid w:val="008113D9"/>
    <w:rsid w:val="00812F12"/>
    <w:rsid w:val="00813C22"/>
    <w:rsid w:val="00813F47"/>
    <w:rsid w:val="0081444A"/>
    <w:rsid w:val="0081476D"/>
    <w:rsid w:val="008156BE"/>
    <w:rsid w:val="00815A81"/>
    <w:rsid w:val="008201E9"/>
    <w:rsid w:val="008207CA"/>
    <w:rsid w:val="00820EFE"/>
    <w:rsid w:val="00821A2C"/>
    <w:rsid w:val="00821E95"/>
    <w:rsid w:val="008226CA"/>
    <w:rsid w:val="008236CA"/>
    <w:rsid w:val="008248A2"/>
    <w:rsid w:val="008255D0"/>
    <w:rsid w:val="00826270"/>
    <w:rsid w:val="008264DB"/>
    <w:rsid w:val="008276BA"/>
    <w:rsid w:val="00830AFB"/>
    <w:rsid w:val="00835665"/>
    <w:rsid w:val="008405B2"/>
    <w:rsid w:val="00840FC6"/>
    <w:rsid w:val="00841711"/>
    <w:rsid w:val="00841A42"/>
    <w:rsid w:val="00841CBF"/>
    <w:rsid w:val="008426C2"/>
    <w:rsid w:val="008432CE"/>
    <w:rsid w:val="0084420B"/>
    <w:rsid w:val="008451AF"/>
    <w:rsid w:val="00845321"/>
    <w:rsid w:val="0084591A"/>
    <w:rsid w:val="00847C04"/>
    <w:rsid w:val="008518EF"/>
    <w:rsid w:val="00851F88"/>
    <w:rsid w:val="00853BE6"/>
    <w:rsid w:val="00855BD8"/>
    <w:rsid w:val="00856161"/>
    <w:rsid w:val="00856541"/>
    <w:rsid w:val="008572F9"/>
    <w:rsid w:val="00857682"/>
    <w:rsid w:val="00860588"/>
    <w:rsid w:val="008609AE"/>
    <w:rsid w:val="00864DD7"/>
    <w:rsid w:val="008651BF"/>
    <w:rsid w:val="008707B9"/>
    <w:rsid w:val="00870C38"/>
    <w:rsid w:val="008715E7"/>
    <w:rsid w:val="0087217B"/>
    <w:rsid w:val="008726F9"/>
    <w:rsid w:val="00873E29"/>
    <w:rsid w:val="00874E5F"/>
    <w:rsid w:val="00876A49"/>
    <w:rsid w:val="00877049"/>
    <w:rsid w:val="00883139"/>
    <w:rsid w:val="008833A8"/>
    <w:rsid w:val="00885BB8"/>
    <w:rsid w:val="00887E48"/>
    <w:rsid w:val="008910CD"/>
    <w:rsid w:val="00893928"/>
    <w:rsid w:val="00896FD8"/>
    <w:rsid w:val="008A0D3F"/>
    <w:rsid w:val="008A1F42"/>
    <w:rsid w:val="008A4136"/>
    <w:rsid w:val="008A442B"/>
    <w:rsid w:val="008A6F10"/>
    <w:rsid w:val="008B043F"/>
    <w:rsid w:val="008B7461"/>
    <w:rsid w:val="008C12C2"/>
    <w:rsid w:val="008C2DD7"/>
    <w:rsid w:val="008C3167"/>
    <w:rsid w:val="008C341A"/>
    <w:rsid w:val="008C70EE"/>
    <w:rsid w:val="008C7454"/>
    <w:rsid w:val="008C74E0"/>
    <w:rsid w:val="008D137E"/>
    <w:rsid w:val="008E1694"/>
    <w:rsid w:val="008E22AA"/>
    <w:rsid w:val="008E44C3"/>
    <w:rsid w:val="008E60E1"/>
    <w:rsid w:val="008F24E7"/>
    <w:rsid w:val="008F36F3"/>
    <w:rsid w:val="008F420B"/>
    <w:rsid w:val="008F7757"/>
    <w:rsid w:val="00901112"/>
    <w:rsid w:val="0090143A"/>
    <w:rsid w:val="00902858"/>
    <w:rsid w:val="00907612"/>
    <w:rsid w:val="0090791E"/>
    <w:rsid w:val="009113E0"/>
    <w:rsid w:val="009115D6"/>
    <w:rsid w:val="00911FC0"/>
    <w:rsid w:val="00914261"/>
    <w:rsid w:val="009169B5"/>
    <w:rsid w:val="0092004F"/>
    <w:rsid w:val="0092261C"/>
    <w:rsid w:val="00922F60"/>
    <w:rsid w:val="00923924"/>
    <w:rsid w:val="00923E90"/>
    <w:rsid w:val="00924AB3"/>
    <w:rsid w:val="0092600B"/>
    <w:rsid w:val="0093482D"/>
    <w:rsid w:val="00935D39"/>
    <w:rsid w:val="00935E66"/>
    <w:rsid w:val="00937FE9"/>
    <w:rsid w:val="00940018"/>
    <w:rsid w:val="00943965"/>
    <w:rsid w:val="00944D05"/>
    <w:rsid w:val="00945382"/>
    <w:rsid w:val="00946C83"/>
    <w:rsid w:val="009470D7"/>
    <w:rsid w:val="00950D48"/>
    <w:rsid w:val="0095246D"/>
    <w:rsid w:val="00952F53"/>
    <w:rsid w:val="0095615E"/>
    <w:rsid w:val="00957F04"/>
    <w:rsid w:val="009603EE"/>
    <w:rsid w:val="009614D7"/>
    <w:rsid w:val="009624C1"/>
    <w:rsid w:val="00963FF5"/>
    <w:rsid w:val="00964989"/>
    <w:rsid w:val="00966E15"/>
    <w:rsid w:val="009679A8"/>
    <w:rsid w:val="00970039"/>
    <w:rsid w:val="00972D9E"/>
    <w:rsid w:val="00976779"/>
    <w:rsid w:val="0098296D"/>
    <w:rsid w:val="00983AD8"/>
    <w:rsid w:val="0098537B"/>
    <w:rsid w:val="00987C89"/>
    <w:rsid w:val="0099089E"/>
    <w:rsid w:val="009908E3"/>
    <w:rsid w:val="00992557"/>
    <w:rsid w:val="00994DDD"/>
    <w:rsid w:val="009951C0"/>
    <w:rsid w:val="009A0A8A"/>
    <w:rsid w:val="009A1200"/>
    <w:rsid w:val="009A22C8"/>
    <w:rsid w:val="009A38C0"/>
    <w:rsid w:val="009A3E11"/>
    <w:rsid w:val="009A65AD"/>
    <w:rsid w:val="009B3D25"/>
    <w:rsid w:val="009B711E"/>
    <w:rsid w:val="009C068C"/>
    <w:rsid w:val="009C1371"/>
    <w:rsid w:val="009C1ECA"/>
    <w:rsid w:val="009C3232"/>
    <w:rsid w:val="009C3408"/>
    <w:rsid w:val="009C3637"/>
    <w:rsid w:val="009C3B43"/>
    <w:rsid w:val="009C423C"/>
    <w:rsid w:val="009C5771"/>
    <w:rsid w:val="009C5C69"/>
    <w:rsid w:val="009D216F"/>
    <w:rsid w:val="009D3287"/>
    <w:rsid w:val="009D4600"/>
    <w:rsid w:val="009D47A7"/>
    <w:rsid w:val="009D63CB"/>
    <w:rsid w:val="009D67D7"/>
    <w:rsid w:val="009E0215"/>
    <w:rsid w:val="009E15B3"/>
    <w:rsid w:val="009E4A54"/>
    <w:rsid w:val="009E4F09"/>
    <w:rsid w:val="009E6B81"/>
    <w:rsid w:val="009F0A12"/>
    <w:rsid w:val="009F4212"/>
    <w:rsid w:val="009F44C3"/>
    <w:rsid w:val="009F4B2F"/>
    <w:rsid w:val="009F6282"/>
    <w:rsid w:val="009F7942"/>
    <w:rsid w:val="009F7B8B"/>
    <w:rsid w:val="00A00D52"/>
    <w:rsid w:val="00A0186B"/>
    <w:rsid w:val="00A021E0"/>
    <w:rsid w:val="00A0403F"/>
    <w:rsid w:val="00A041EB"/>
    <w:rsid w:val="00A0669E"/>
    <w:rsid w:val="00A07BDB"/>
    <w:rsid w:val="00A07FCB"/>
    <w:rsid w:val="00A10A3B"/>
    <w:rsid w:val="00A12F36"/>
    <w:rsid w:val="00A134B0"/>
    <w:rsid w:val="00A15CEB"/>
    <w:rsid w:val="00A20A6A"/>
    <w:rsid w:val="00A20F6E"/>
    <w:rsid w:val="00A2103B"/>
    <w:rsid w:val="00A21881"/>
    <w:rsid w:val="00A25BE1"/>
    <w:rsid w:val="00A27EBA"/>
    <w:rsid w:val="00A30D4B"/>
    <w:rsid w:val="00A31231"/>
    <w:rsid w:val="00A31E19"/>
    <w:rsid w:val="00A324DC"/>
    <w:rsid w:val="00A33F21"/>
    <w:rsid w:val="00A360F1"/>
    <w:rsid w:val="00A369A5"/>
    <w:rsid w:val="00A376AD"/>
    <w:rsid w:val="00A42076"/>
    <w:rsid w:val="00A476D8"/>
    <w:rsid w:val="00A47D3A"/>
    <w:rsid w:val="00A50EEF"/>
    <w:rsid w:val="00A513D7"/>
    <w:rsid w:val="00A51B10"/>
    <w:rsid w:val="00A56980"/>
    <w:rsid w:val="00A56A08"/>
    <w:rsid w:val="00A5798A"/>
    <w:rsid w:val="00A60AA4"/>
    <w:rsid w:val="00A60DAB"/>
    <w:rsid w:val="00A632C0"/>
    <w:rsid w:val="00A63CF5"/>
    <w:rsid w:val="00A66497"/>
    <w:rsid w:val="00A7084F"/>
    <w:rsid w:val="00A70FD4"/>
    <w:rsid w:val="00A73B38"/>
    <w:rsid w:val="00A747A6"/>
    <w:rsid w:val="00A75C32"/>
    <w:rsid w:val="00A76D42"/>
    <w:rsid w:val="00A80AA0"/>
    <w:rsid w:val="00A828AE"/>
    <w:rsid w:val="00A82FC7"/>
    <w:rsid w:val="00A83C7E"/>
    <w:rsid w:val="00A948BE"/>
    <w:rsid w:val="00A95069"/>
    <w:rsid w:val="00A9548C"/>
    <w:rsid w:val="00AA05A1"/>
    <w:rsid w:val="00AA3255"/>
    <w:rsid w:val="00AA3E8C"/>
    <w:rsid w:val="00AA4D53"/>
    <w:rsid w:val="00AA5478"/>
    <w:rsid w:val="00AA5BF2"/>
    <w:rsid w:val="00AA7567"/>
    <w:rsid w:val="00AA7A40"/>
    <w:rsid w:val="00AB0BB6"/>
    <w:rsid w:val="00AB0FFF"/>
    <w:rsid w:val="00AB26C0"/>
    <w:rsid w:val="00AB2E41"/>
    <w:rsid w:val="00AB40C6"/>
    <w:rsid w:val="00AB42F1"/>
    <w:rsid w:val="00AB4F4A"/>
    <w:rsid w:val="00AB4F53"/>
    <w:rsid w:val="00AB5C30"/>
    <w:rsid w:val="00AB6E17"/>
    <w:rsid w:val="00AB70F1"/>
    <w:rsid w:val="00AC5E52"/>
    <w:rsid w:val="00AC6AF6"/>
    <w:rsid w:val="00AD3AAF"/>
    <w:rsid w:val="00AD3C1C"/>
    <w:rsid w:val="00AD406B"/>
    <w:rsid w:val="00AD553B"/>
    <w:rsid w:val="00AE2A2D"/>
    <w:rsid w:val="00AE5B83"/>
    <w:rsid w:val="00AE77AE"/>
    <w:rsid w:val="00AE7BF1"/>
    <w:rsid w:val="00AE7E7C"/>
    <w:rsid w:val="00AE7E97"/>
    <w:rsid w:val="00AF18EE"/>
    <w:rsid w:val="00AF2406"/>
    <w:rsid w:val="00AF2903"/>
    <w:rsid w:val="00AF4388"/>
    <w:rsid w:val="00AF4C47"/>
    <w:rsid w:val="00AF4FC6"/>
    <w:rsid w:val="00AF6884"/>
    <w:rsid w:val="00B011D5"/>
    <w:rsid w:val="00B0397B"/>
    <w:rsid w:val="00B06123"/>
    <w:rsid w:val="00B06193"/>
    <w:rsid w:val="00B0760B"/>
    <w:rsid w:val="00B10839"/>
    <w:rsid w:val="00B12A30"/>
    <w:rsid w:val="00B1311A"/>
    <w:rsid w:val="00B14C1E"/>
    <w:rsid w:val="00B15D7F"/>
    <w:rsid w:val="00B160D2"/>
    <w:rsid w:val="00B161F0"/>
    <w:rsid w:val="00B26218"/>
    <w:rsid w:val="00B2693D"/>
    <w:rsid w:val="00B272C0"/>
    <w:rsid w:val="00B34131"/>
    <w:rsid w:val="00B35AA9"/>
    <w:rsid w:val="00B37C7F"/>
    <w:rsid w:val="00B37EE7"/>
    <w:rsid w:val="00B407F5"/>
    <w:rsid w:val="00B40B77"/>
    <w:rsid w:val="00B40C12"/>
    <w:rsid w:val="00B41480"/>
    <w:rsid w:val="00B41764"/>
    <w:rsid w:val="00B41AFB"/>
    <w:rsid w:val="00B4205C"/>
    <w:rsid w:val="00B42CCE"/>
    <w:rsid w:val="00B438D7"/>
    <w:rsid w:val="00B43B6F"/>
    <w:rsid w:val="00B44331"/>
    <w:rsid w:val="00B44994"/>
    <w:rsid w:val="00B450C8"/>
    <w:rsid w:val="00B4532F"/>
    <w:rsid w:val="00B476C5"/>
    <w:rsid w:val="00B50774"/>
    <w:rsid w:val="00B51018"/>
    <w:rsid w:val="00B51ABA"/>
    <w:rsid w:val="00B51BED"/>
    <w:rsid w:val="00B52AB9"/>
    <w:rsid w:val="00B55735"/>
    <w:rsid w:val="00B63392"/>
    <w:rsid w:val="00B65755"/>
    <w:rsid w:val="00B71FC9"/>
    <w:rsid w:val="00B7215B"/>
    <w:rsid w:val="00B7387F"/>
    <w:rsid w:val="00B74CD3"/>
    <w:rsid w:val="00B75A86"/>
    <w:rsid w:val="00B75BD3"/>
    <w:rsid w:val="00B75ED0"/>
    <w:rsid w:val="00B75FD4"/>
    <w:rsid w:val="00B768FC"/>
    <w:rsid w:val="00B769BE"/>
    <w:rsid w:val="00B77192"/>
    <w:rsid w:val="00B802E1"/>
    <w:rsid w:val="00B81BF7"/>
    <w:rsid w:val="00B81CE4"/>
    <w:rsid w:val="00B81F6C"/>
    <w:rsid w:val="00B83042"/>
    <w:rsid w:val="00B85D87"/>
    <w:rsid w:val="00B85F49"/>
    <w:rsid w:val="00B86AC9"/>
    <w:rsid w:val="00B86C7F"/>
    <w:rsid w:val="00B91AA2"/>
    <w:rsid w:val="00B93611"/>
    <w:rsid w:val="00B9552C"/>
    <w:rsid w:val="00B95600"/>
    <w:rsid w:val="00B95EFF"/>
    <w:rsid w:val="00B96150"/>
    <w:rsid w:val="00BA21A2"/>
    <w:rsid w:val="00BA3646"/>
    <w:rsid w:val="00BA39C9"/>
    <w:rsid w:val="00BB100E"/>
    <w:rsid w:val="00BB26C1"/>
    <w:rsid w:val="00BB29BA"/>
    <w:rsid w:val="00BB6DF4"/>
    <w:rsid w:val="00BC16D0"/>
    <w:rsid w:val="00BC1F7F"/>
    <w:rsid w:val="00BC396B"/>
    <w:rsid w:val="00BC59BE"/>
    <w:rsid w:val="00BC60BF"/>
    <w:rsid w:val="00BD38BA"/>
    <w:rsid w:val="00BD4128"/>
    <w:rsid w:val="00BD445E"/>
    <w:rsid w:val="00BD4E96"/>
    <w:rsid w:val="00BD7870"/>
    <w:rsid w:val="00BE16BE"/>
    <w:rsid w:val="00BE2F9A"/>
    <w:rsid w:val="00BE61C1"/>
    <w:rsid w:val="00BE656C"/>
    <w:rsid w:val="00BE6AAF"/>
    <w:rsid w:val="00BE6F09"/>
    <w:rsid w:val="00BE6FB5"/>
    <w:rsid w:val="00BE7BE9"/>
    <w:rsid w:val="00BF14AA"/>
    <w:rsid w:val="00BF3615"/>
    <w:rsid w:val="00BF4018"/>
    <w:rsid w:val="00BF414F"/>
    <w:rsid w:val="00BF472F"/>
    <w:rsid w:val="00BF6DF6"/>
    <w:rsid w:val="00BF7C67"/>
    <w:rsid w:val="00C01A15"/>
    <w:rsid w:val="00C05C94"/>
    <w:rsid w:val="00C06A67"/>
    <w:rsid w:val="00C10839"/>
    <w:rsid w:val="00C10C9A"/>
    <w:rsid w:val="00C131CD"/>
    <w:rsid w:val="00C13419"/>
    <w:rsid w:val="00C14603"/>
    <w:rsid w:val="00C15085"/>
    <w:rsid w:val="00C15CDE"/>
    <w:rsid w:val="00C16370"/>
    <w:rsid w:val="00C16398"/>
    <w:rsid w:val="00C16BB4"/>
    <w:rsid w:val="00C17EB0"/>
    <w:rsid w:val="00C2355C"/>
    <w:rsid w:val="00C23A48"/>
    <w:rsid w:val="00C23D29"/>
    <w:rsid w:val="00C24866"/>
    <w:rsid w:val="00C261FB"/>
    <w:rsid w:val="00C30994"/>
    <w:rsid w:val="00C32091"/>
    <w:rsid w:val="00C3234D"/>
    <w:rsid w:val="00C336F6"/>
    <w:rsid w:val="00C33E1D"/>
    <w:rsid w:val="00C34CCA"/>
    <w:rsid w:val="00C34F91"/>
    <w:rsid w:val="00C35132"/>
    <w:rsid w:val="00C470BE"/>
    <w:rsid w:val="00C50C33"/>
    <w:rsid w:val="00C5377C"/>
    <w:rsid w:val="00C55017"/>
    <w:rsid w:val="00C56680"/>
    <w:rsid w:val="00C56E4C"/>
    <w:rsid w:val="00C56F5B"/>
    <w:rsid w:val="00C57FB3"/>
    <w:rsid w:val="00C60C44"/>
    <w:rsid w:val="00C610D7"/>
    <w:rsid w:val="00C61BA8"/>
    <w:rsid w:val="00C640FD"/>
    <w:rsid w:val="00C65CF1"/>
    <w:rsid w:val="00C66550"/>
    <w:rsid w:val="00C71430"/>
    <w:rsid w:val="00C726A9"/>
    <w:rsid w:val="00C7417D"/>
    <w:rsid w:val="00C7506B"/>
    <w:rsid w:val="00C75425"/>
    <w:rsid w:val="00C75465"/>
    <w:rsid w:val="00C75B82"/>
    <w:rsid w:val="00C77D91"/>
    <w:rsid w:val="00C82645"/>
    <w:rsid w:val="00C83152"/>
    <w:rsid w:val="00C85DA2"/>
    <w:rsid w:val="00C900F7"/>
    <w:rsid w:val="00C91ADE"/>
    <w:rsid w:val="00C91C59"/>
    <w:rsid w:val="00C92287"/>
    <w:rsid w:val="00C9294D"/>
    <w:rsid w:val="00C93DC7"/>
    <w:rsid w:val="00C953A8"/>
    <w:rsid w:val="00CA03B0"/>
    <w:rsid w:val="00CA40C6"/>
    <w:rsid w:val="00CA643D"/>
    <w:rsid w:val="00CA68F6"/>
    <w:rsid w:val="00CA6D05"/>
    <w:rsid w:val="00CB2DD5"/>
    <w:rsid w:val="00CB35BC"/>
    <w:rsid w:val="00CB53F6"/>
    <w:rsid w:val="00CB7228"/>
    <w:rsid w:val="00CB7C52"/>
    <w:rsid w:val="00CC24C4"/>
    <w:rsid w:val="00CC4DCF"/>
    <w:rsid w:val="00CC5157"/>
    <w:rsid w:val="00CC7271"/>
    <w:rsid w:val="00CC7B92"/>
    <w:rsid w:val="00CD17DB"/>
    <w:rsid w:val="00CD5F6B"/>
    <w:rsid w:val="00CD6A15"/>
    <w:rsid w:val="00CD6DF5"/>
    <w:rsid w:val="00CD71A8"/>
    <w:rsid w:val="00CD79DE"/>
    <w:rsid w:val="00CE40F9"/>
    <w:rsid w:val="00CE6A8D"/>
    <w:rsid w:val="00CF049B"/>
    <w:rsid w:val="00CF5518"/>
    <w:rsid w:val="00CF67B0"/>
    <w:rsid w:val="00CF6E8E"/>
    <w:rsid w:val="00D00221"/>
    <w:rsid w:val="00D00B4B"/>
    <w:rsid w:val="00D02512"/>
    <w:rsid w:val="00D03FA3"/>
    <w:rsid w:val="00D03FE1"/>
    <w:rsid w:val="00D0536D"/>
    <w:rsid w:val="00D0667D"/>
    <w:rsid w:val="00D11532"/>
    <w:rsid w:val="00D1159F"/>
    <w:rsid w:val="00D205F3"/>
    <w:rsid w:val="00D236C7"/>
    <w:rsid w:val="00D24859"/>
    <w:rsid w:val="00D249DD"/>
    <w:rsid w:val="00D24BC7"/>
    <w:rsid w:val="00D2508A"/>
    <w:rsid w:val="00D30C0E"/>
    <w:rsid w:val="00D32931"/>
    <w:rsid w:val="00D32D9E"/>
    <w:rsid w:val="00D33A16"/>
    <w:rsid w:val="00D33C6D"/>
    <w:rsid w:val="00D342BC"/>
    <w:rsid w:val="00D36A2C"/>
    <w:rsid w:val="00D36AEC"/>
    <w:rsid w:val="00D36D72"/>
    <w:rsid w:val="00D427F0"/>
    <w:rsid w:val="00D429B2"/>
    <w:rsid w:val="00D4546F"/>
    <w:rsid w:val="00D457EC"/>
    <w:rsid w:val="00D4633A"/>
    <w:rsid w:val="00D47841"/>
    <w:rsid w:val="00D505E0"/>
    <w:rsid w:val="00D53688"/>
    <w:rsid w:val="00D54322"/>
    <w:rsid w:val="00D563F9"/>
    <w:rsid w:val="00D57AE5"/>
    <w:rsid w:val="00D6007A"/>
    <w:rsid w:val="00D601FC"/>
    <w:rsid w:val="00D60EF4"/>
    <w:rsid w:val="00D6266E"/>
    <w:rsid w:val="00D6646A"/>
    <w:rsid w:val="00D66FA8"/>
    <w:rsid w:val="00D67C3D"/>
    <w:rsid w:val="00D705BD"/>
    <w:rsid w:val="00D7081F"/>
    <w:rsid w:val="00D723B3"/>
    <w:rsid w:val="00D724FA"/>
    <w:rsid w:val="00D72BCF"/>
    <w:rsid w:val="00D73D94"/>
    <w:rsid w:val="00D764C1"/>
    <w:rsid w:val="00D770F8"/>
    <w:rsid w:val="00D77DCA"/>
    <w:rsid w:val="00D81ACF"/>
    <w:rsid w:val="00D82D51"/>
    <w:rsid w:val="00D832D8"/>
    <w:rsid w:val="00D83F04"/>
    <w:rsid w:val="00D842E1"/>
    <w:rsid w:val="00D84373"/>
    <w:rsid w:val="00D84BFF"/>
    <w:rsid w:val="00D85747"/>
    <w:rsid w:val="00D86026"/>
    <w:rsid w:val="00D87F34"/>
    <w:rsid w:val="00D90547"/>
    <w:rsid w:val="00D90F06"/>
    <w:rsid w:val="00D9124E"/>
    <w:rsid w:val="00D91BA9"/>
    <w:rsid w:val="00D93075"/>
    <w:rsid w:val="00D94546"/>
    <w:rsid w:val="00D957E1"/>
    <w:rsid w:val="00DA2F42"/>
    <w:rsid w:val="00DA371D"/>
    <w:rsid w:val="00DA504C"/>
    <w:rsid w:val="00DA5608"/>
    <w:rsid w:val="00DA56FC"/>
    <w:rsid w:val="00DA7FD2"/>
    <w:rsid w:val="00DB1925"/>
    <w:rsid w:val="00DB235E"/>
    <w:rsid w:val="00DB3870"/>
    <w:rsid w:val="00DB4DF9"/>
    <w:rsid w:val="00DB60A1"/>
    <w:rsid w:val="00DB7E7E"/>
    <w:rsid w:val="00DC18EE"/>
    <w:rsid w:val="00DC2CFC"/>
    <w:rsid w:val="00DC5294"/>
    <w:rsid w:val="00DC5B74"/>
    <w:rsid w:val="00DC64F7"/>
    <w:rsid w:val="00DC7878"/>
    <w:rsid w:val="00DD0684"/>
    <w:rsid w:val="00DD0F82"/>
    <w:rsid w:val="00DD197E"/>
    <w:rsid w:val="00DD215B"/>
    <w:rsid w:val="00DD2278"/>
    <w:rsid w:val="00DD246F"/>
    <w:rsid w:val="00DD26FF"/>
    <w:rsid w:val="00DD5E5C"/>
    <w:rsid w:val="00DE21A7"/>
    <w:rsid w:val="00DE3C36"/>
    <w:rsid w:val="00DE65AD"/>
    <w:rsid w:val="00DF0313"/>
    <w:rsid w:val="00DF2FD4"/>
    <w:rsid w:val="00DF5EA5"/>
    <w:rsid w:val="00DF601D"/>
    <w:rsid w:val="00DF7049"/>
    <w:rsid w:val="00DF7F44"/>
    <w:rsid w:val="00E03943"/>
    <w:rsid w:val="00E0529C"/>
    <w:rsid w:val="00E07BEA"/>
    <w:rsid w:val="00E10044"/>
    <w:rsid w:val="00E12D84"/>
    <w:rsid w:val="00E13920"/>
    <w:rsid w:val="00E13943"/>
    <w:rsid w:val="00E15E17"/>
    <w:rsid w:val="00E16006"/>
    <w:rsid w:val="00E17C7A"/>
    <w:rsid w:val="00E208AD"/>
    <w:rsid w:val="00E228D2"/>
    <w:rsid w:val="00E22ACB"/>
    <w:rsid w:val="00E2392A"/>
    <w:rsid w:val="00E24B93"/>
    <w:rsid w:val="00E26171"/>
    <w:rsid w:val="00E270E0"/>
    <w:rsid w:val="00E304C6"/>
    <w:rsid w:val="00E30583"/>
    <w:rsid w:val="00E323FF"/>
    <w:rsid w:val="00E353BB"/>
    <w:rsid w:val="00E40A68"/>
    <w:rsid w:val="00E4234F"/>
    <w:rsid w:val="00E438CD"/>
    <w:rsid w:val="00E43950"/>
    <w:rsid w:val="00E44411"/>
    <w:rsid w:val="00E44740"/>
    <w:rsid w:val="00E45596"/>
    <w:rsid w:val="00E47947"/>
    <w:rsid w:val="00E47C6D"/>
    <w:rsid w:val="00E47C8D"/>
    <w:rsid w:val="00E51300"/>
    <w:rsid w:val="00E541BF"/>
    <w:rsid w:val="00E55762"/>
    <w:rsid w:val="00E55A52"/>
    <w:rsid w:val="00E60276"/>
    <w:rsid w:val="00E60324"/>
    <w:rsid w:val="00E611E3"/>
    <w:rsid w:val="00E61869"/>
    <w:rsid w:val="00E62EFE"/>
    <w:rsid w:val="00E63553"/>
    <w:rsid w:val="00E64466"/>
    <w:rsid w:val="00E64A87"/>
    <w:rsid w:val="00E652E6"/>
    <w:rsid w:val="00E65353"/>
    <w:rsid w:val="00E65684"/>
    <w:rsid w:val="00E66ADA"/>
    <w:rsid w:val="00E67B2A"/>
    <w:rsid w:val="00E72E29"/>
    <w:rsid w:val="00E762A4"/>
    <w:rsid w:val="00E770BE"/>
    <w:rsid w:val="00E77814"/>
    <w:rsid w:val="00E8080F"/>
    <w:rsid w:val="00E828BE"/>
    <w:rsid w:val="00E834C8"/>
    <w:rsid w:val="00E83DB8"/>
    <w:rsid w:val="00E83DE7"/>
    <w:rsid w:val="00E84C11"/>
    <w:rsid w:val="00E86FA9"/>
    <w:rsid w:val="00E91808"/>
    <w:rsid w:val="00E95210"/>
    <w:rsid w:val="00EA12B5"/>
    <w:rsid w:val="00EA3219"/>
    <w:rsid w:val="00EA4AE4"/>
    <w:rsid w:val="00EA4C2F"/>
    <w:rsid w:val="00EA5A4D"/>
    <w:rsid w:val="00EA7270"/>
    <w:rsid w:val="00EB0630"/>
    <w:rsid w:val="00EB08B6"/>
    <w:rsid w:val="00EB2C35"/>
    <w:rsid w:val="00EB46B3"/>
    <w:rsid w:val="00EB4F4F"/>
    <w:rsid w:val="00EB7FFD"/>
    <w:rsid w:val="00EC5E94"/>
    <w:rsid w:val="00EC60FE"/>
    <w:rsid w:val="00ED2CA0"/>
    <w:rsid w:val="00ED489B"/>
    <w:rsid w:val="00ED5A8A"/>
    <w:rsid w:val="00ED69FD"/>
    <w:rsid w:val="00ED7A34"/>
    <w:rsid w:val="00ED7C1B"/>
    <w:rsid w:val="00EE0340"/>
    <w:rsid w:val="00EE2451"/>
    <w:rsid w:val="00EE5DD5"/>
    <w:rsid w:val="00EE6986"/>
    <w:rsid w:val="00EF207F"/>
    <w:rsid w:val="00EF3BEC"/>
    <w:rsid w:val="00EF56CC"/>
    <w:rsid w:val="00EF674C"/>
    <w:rsid w:val="00EF729E"/>
    <w:rsid w:val="00EF7A84"/>
    <w:rsid w:val="00F015AF"/>
    <w:rsid w:val="00F0364F"/>
    <w:rsid w:val="00F057D3"/>
    <w:rsid w:val="00F0617E"/>
    <w:rsid w:val="00F076DB"/>
    <w:rsid w:val="00F108C8"/>
    <w:rsid w:val="00F1178F"/>
    <w:rsid w:val="00F11F11"/>
    <w:rsid w:val="00F11F16"/>
    <w:rsid w:val="00F13671"/>
    <w:rsid w:val="00F16E15"/>
    <w:rsid w:val="00F1716B"/>
    <w:rsid w:val="00F20039"/>
    <w:rsid w:val="00F22904"/>
    <w:rsid w:val="00F251A8"/>
    <w:rsid w:val="00F2732D"/>
    <w:rsid w:val="00F275C7"/>
    <w:rsid w:val="00F304E1"/>
    <w:rsid w:val="00F30F3E"/>
    <w:rsid w:val="00F3198B"/>
    <w:rsid w:val="00F334B5"/>
    <w:rsid w:val="00F338D2"/>
    <w:rsid w:val="00F34BBA"/>
    <w:rsid w:val="00F378A4"/>
    <w:rsid w:val="00F4204B"/>
    <w:rsid w:val="00F422D0"/>
    <w:rsid w:val="00F423DF"/>
    <w:rsid w:val="00F43335"/>
    <w:rsid w:val="00F43760"/>
    <w:rsid w:val="00F44EED"/>
    <w:rsid w:val="00F46BB3"/>
    <w:rsid w:val="00F46DA7"/>
    <w:rsid w:val="00F47062"/>
    <w:rsid w:val="00F4735C"/>
    <w:rsid w:val="00F50CD7"/>
    <w:rsid w:val="00F525FA"/>
    <w:rsid w:val="00F539B8"/>
    <w:rsid w:val="00F5404A"/>
    <w:rsid w:val="00F562AD"/>
    <w:rsid w:val="00F56A50"/>
    <w:rsid w:val="00F56E15"/>
    <w:rsid w:val="00F5730F"/>
    <w:rsid w:val="00F62076"/>
    <w:rsid w:val="00F6322F"/>
    <w:rsid w:val="00F64534"/>
    <w:rsid w:val="00F64847"/>
    <w:rsid w:val="00F64848"/>
    <w:rsid w:val="00F648CC"/>
    <w:rsid w:val="00F64FAA"/>
    <w:rsid w:val="00F6632D"/>
    <w:rsid w:val="00F73044"/>
    <w:rsid w:val="00F73A7F"/>
    <w:rsid w:val="00F741C5"/>
    <w:rsid w:val="00F7422B"/>
    <w:rsid w:val="00F75155"/>
    <w:rsid w:val="00F801BA"/>
    <w:rsid w:val="00F8069D"/>
    <w:rsid w:val="00F82E8A"/>
    <w:rsid w:val="00F838FF"/>
    <w:rsid w:val="00F83AA4"/>
    <w:rsid w:val="00F843FB"/>
    <w:rsid w:val="00F87016"/>
    <w:rsid w:val="00F90083"/>
    <w:rsid w:val="00F9211D"/>
    <w:rsid w:val="00F93F57"/>
    <w:rsid w:val="00F959D3"/>
    <w:rsid w:val="00F967FA"/>
    <w:rsid w:val="00F978EC"/>
    <w:rsid w:val="00FA0D51"/>
    <w:rsid w:val="00FA4297"/>
    <w:rsid w:val="00FA5283"/>
    <w:rsid w:val="00FA5AC4"/>
    <w:rsid w:val="00FA60CF"/>
    <w:rsid w:val="00FA7701"/>
    <w:rsid w:val="00FA7FB3"/>
    <w:rsid w:val="00FB5199"/>
    <w:rsid w:val="00FB60B6"/>
    <w:rsid w:val="00FB71BC"/>
    <w:rsid w:val="00FC1D66"/>
    <w:rsid w:val="00FC36E5"/>
    <w:rsid w:val="00FC4574"/>
    <w:rsid w:val="00FC5C89"/>
    <w:rsid w:val="00FC7ABF"/>
    <w:rsid w:val="00FC7F40"/>
    <w:rsid w:val="00FD1C96"/>
    <w:rsid w:val="00FD337A"/>
    <w:rsid w:val="00FD49E9"/>
    <w:rsid w:val="00FD4FFE"/>
    <w:rsid w:val="00FD77D6"/>
    <w:rsid w:val="00FD788F"/>
    <w:rsid w:val="00FE0B48"/>
    <w:rsid w:val="00FE1E8A"/>
    <w:rsid w:val="00FE28E2"/>
    <w:rsid w:val="00FE2D1B"/>
    <w:rsid w:val="00FE4DFA"/>
    <w:rsid w:val="00FE6A8C"/>
    <w:rsid w:val="00FF1A26"/>
    <w:rsid w:val="00FF333D"/>
    <w:rsid w:val="00FF3A20"/>
    <w:rsid w:val="00FF5E8D"/>
    <w:rsid w:val="00FF6DC6"/>
    <w:rsid w:val="00FF749F"/>
    <w:rsid w:val="06580CE8"/>
    <w:rsid w:val="0B64371C"/>
    <w:rsid w:val="0BE84629"/>
    <w:rsid w:val="0E005210"/>
    <w:rsid w:val="0E3D7000"/>
    <w:rsid w:val="14FA0DB2"/>
    <w:rsid w:val="1DAF4298"/>
    <w:rsid w:val="20B4184E"/>
    <w:rsid w:val="2A020C91"/>
    <w:rsid w:val="392737A2"/>
    <w:rsid w:val="40721312"/>
    <w:rsid w:val="408E6079"/>
    <w:rsid w:val="49134C56"/>
    <w:rsid w:val="4A9C3BCC"/>
    <w:rsid w:val="4EE852BE"/>
    <w:rsid w:val="520E537A"/>
    <w:rsid w:val="56526928"/>
    <w:rsid w:val="585D5E0E"/>
    <w:rsid w:val="5A776550"/>
    <w:rsid w:val="5AA454A2"/>
    <w:rsid w:val="65377372"/>
    <w:rsid w:val="6AE8673F"/>
    <w:rsid w:val="6C0A02C7"/>
    <w:rsid w:val="6DB371CF"/>
    <w:rsid w:val="759654B8"/>
    <w:rsid w:val="785529BF"/>
    <w:rsid w:val="7AC878AF"/>
    <w:rsid w:val="7C3302ED"/>
    <w:rsid w:val="7D3A6705"/>
    <w:rsid w:val="7EA52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3"/>
    <w:basedOn w:val="1"/>
    <w:next w:val="4"/>
    <w:qFormat/>
    <w:uiPriority w:val="0"/>
    <w:pPr>
      <w:keepLines/>
      <w:numPr>
        <w:ilvl w:val="2"/>
        <w:numId w:val="1"/>
      </w:numPr>
      <w:spacing w:line="360" w:lineRule="auto"/>
      <w:outlineLvl w:val="2"/>
    </w:pPr>
    <w:rPr>
      <w:rFonts w:eastAsia="黑体"/>
      <w:b/>
      <w:kern w:val="0"/>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First Indent"/>
    <w:basedOn w:val="5"/>
    <w:qFormat/>
    <w:uiPriority w:val="0"/>
    <w:pPr>
      <w:ind w:firstLine="420" w:firstLineChars="100"/>
    </w:pPr>
  </w:style>
  <w:style w:type="paragraph" w:styleId="5">
    <w:name w:val="Body Text"/>
    <w:basedOn w:val="1"/>
    <w:qFormat/>
    <w:uiPriority w:val="0"/>
    <w:pPr>
      <w:spacing w:after="120"/>
    </w:pPr>
  </w:style>
  <w:style w:type="paragraph" w:styleId="6">
    <w:name w:val="Document Map"/>
    <w:basedOn w:val="1"/>
    <w:qFormat/>
    <w:uiPriority w:val="0"/>
    <w:pPr>
      <w:shd w:val="clear" w:color="auto" w:fill="000080"/>
    </w:pPr>
  </w:style>
  <w:style w:type="paragraph" w:styleId="7">
    <w:name w:val="annotation text"/>
    <w:basedOn w:val="1"/>
    <w:link w:val="24"/>
    <w:unhideWhenUsed/>
    <w:qFormat/>
    <w:uiPriority w:val="99"/>
    <w:pPr>
      <w:jc w:val="left"/>
    </w:pPr>
  </w:style>
  <w:style w:type="paragraph" w:styleId="8">
    <w:name w:val="Body Text Indent 2"/>
    <w:basedOn w:val="1"/>
    <w:link w:val="31"/>
    <w:semiHidden/>
    <w:unhideWhenUsed/>
    <w:qFormat/>
    <w:uiPriority w:val="99"/>
    <w:pPr>
      <w:spacing w:after="120" w:line="480" w:lineRule="auto"/>
      <w:ind w:left="420" w:leftChars="200"/>
    </w:pPr>
  </w:style>
  <w:style w:type="paragraph" w:styleId="9">
    <w:name w:val="Balloon Text"/>
    <w:basedOn w:val="1"/>
    <w:link w:val="26"/>
    <w:semiHidden/>
    <w:unhideWhenUsed/>
    <w:qFormat/>
    <w:uiPriority w:val="99"/>
    <w:rPr>
      <w:sz w:val="18"/>
      <w:szCs w:val="18"/>
    </w:rPr>
  </w:style>
  <w:style w:type="paragraph" w:styleId="10">
    <w:name w:val="footer"/>
    <w:basedOn w:val="1"/>
    <w:link w:val="21"/>
    <w:qFormat/>
    <w:uiPriority w:val="99"/>
    <w:pPr>
      <w:tabs>
        <w:tab w:val="center" w:pos="4153"/>
        <w:tab w:val="right" w:pos="8306"/>
      </w:tabs>
      <w:snapToGrid w:val="0"/>
      <w:jc w:val="left"/>
    </w:pPr>
    <w:rPr>
      <w:sz w:val="18"/>
      <w:szCs w:val="18"/>
    </w:rPr>
  </w:style>
  <w:style w:type="paragraph" w:styleId="11">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2">
    <w:name w:val="Title"/>
    <w:basedOn w:val="1"/>
    <w:link w:val="19"/>
    <w:qFormat/>
    <w:uiPriority w:val="0"/>
    <w:pPr>
      <w:spacing w:before="240" w:after="60"/>
      <w:jc w:val="center"/>
      <w:outlineLvl w:val="0"/>
    </w:pPr>
    <w:rPr>
      <w:rFonts w:ascii="Arial" w:hAnsi="Arial"/>
      <w:b/>
      <w:bCs/>
      <w:kern w:val="0"/>
      <w:sz w:val="32"/>
      <w:szCs w:val="32"/>
    </w:rPr>
  </w:style>
  <w:style w:type="paragraph" w:styleId="13">
    <w:name w:val="annotation subject"/>
    <w:basedOn w:val="7"/>
    <w:next w:val="7"/>
    <w:link w:val="25"/>
    <w:semiHidden/>
    <w:unhideWhenUsed/>
    <w:qFormat/>
    <w:uiPriority w:val="99"/>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annotation reference"/>
    <w:basedOn w:val="16"/>
    <w:semiHidden/>
    <w:unhideWhenUsed/>
    <w:qFormat/>
    <w:uiPriority w:val="99"/>
    <w:rPr>
      <w:sz w:val="21"/>
      <w:szCs w:val="21"/>
    </w:rPr>
  </w:style>
  <w:style w:type="character" w:customStyle="1" w:styleId="19">
    <w:name w:val="标题 字符"/>
    <w:link w:val="12"/>
    <w:qFormat/>
    <w:uiPriority w:val="0"/>
    <w:rPr>
      <w:rFonts w:ascii="Arial" w:hAnsi="Arial" w:eastAsia="宋体"/>
      <w:b/>
      <w:bCs/>
      <w:sz w:val="32"/>
      <w:szCs w:val="32"/>
      <w:lang w:bidi="ar-SA"/>
    </w:rPr>
  </w:style>
  <w:style w:type="character" w:customStyle="1" w:styleId="20">
    <w:name w:val="页眉 字符"/>
    <w:link w:val="11"/>
    <w:qFormat/>
    <w:uiPriority w:val="0"/>
    <w:rPr>
      <w:kern w:val="2"/>
      <w:sz w:val="18"/>
      <w:szCs w:val="18"/>
    </w:rPr>
  </w:style>
  <w:style w:type="character" w:customStyle="1" w:styleId="21">
    <w:name w:val="页脚 字符"/>
    <w:link w:val="10"/>
    <w:qFormat/>
    <w:uiPriority w:val="99"/>
    <w:rPr>
      <w:kern w:val="2"/>
      <w:sz w:val="18"/>
      <w:szCs w:val="18"/>
    </w:rPr>
  </w:style>
  <w:style w:type="paragraph" w:customStyle="1" w:styleId="22">
    <w:name w:val="表格"/>
    <w:basedOn w:val="1"/>
    <w:link w:val="32"/>
    <w:qFormat/>
    <w:uiPriority w:val="0"/>
    <w:pPr>
      <w:jc w:val="center"/>
    </w:pPr>
    <w:rPr>
      <w:sz w:val="18"/>
      <w:szCs w:val="20"/>
    </w:rPr>
  </w:style>
  <w:style w:type="character" w:customStyle="1" w:styleId="23">
    <w:name w:val="标题 1 字符"/>
    <w:basedOn w:val="16"/>
    <w:link w:val="2"/>
    <w:qFormat/>
    <w:uiPriority w:val="9"/>
    <w:rPr>
      <w:b/>
      <w:bCs/>
      <w:kern w:val="44"/>
      <w:sz w:val="44"/>
      <w:szCs w:val="44"/>
    </w:rPr>
  </w:style>
  <w:style w:type="character" w:customStyle="1" w:styleId="24">
    <w:name w:val="批注文字 字符"/>
    <w:basedOn w:val="16"/>
    <w:link w:val="7"/>
    <w:qFormat/>
    <w:uiPriority w:val="99"/>
    <w:rPr>
      <w:kern w:val="2"/>
      <w:sz w:val="21"/>
      <w:szCs w:val="24"/>
    </w:rPr>
  </w:style>
  <w:style w:type="character" w:customStyle="1" w:styleId="25">
    <w:name w:val="批注主题 字符"/>
    <w:basedOn w:val="24"/>
    <w:link w:val="13"/>
    <w:semiHidden/>
    <w:qFormat/>
    <w:uiPriority w:val="99"/>
    <w:rPr>
      <w:b/>
      <w:bCs/>
      <w:kern w:val="2"/>
      <w:sz w:val="21"/>
      <w:szCs w:val="24"/>
    </w:rPr>
  </w:style>
  <w:style w:type="character" w:customStyle="1" w:styleId="26">
    <w:name w:val="批注框文本 字符"/>
    <w:basedOn w:val="16"/>
    <w:link w:val="9"/>
    <w:semiHidden/>
    <w:qFormat/>
    <w:uiPriority w:val="99"/>
    <w:rPr>
      <w:kern w:val="2"/>
      <w:sz w:val="18"/>
      <w:szCs w:val="18"/>
    </w:rPr>
  </w:style>
  <w:style w:type="paragraph" w:styleId="27">
    <w:name w:val="List Paragraph"/>
    <w:basedOn w:val="1"/>
    <w:qFormat/>
    <w:uiPriority w:val="0"/>
    <w:pPr>
      <w:ind w:firstLine="420" w:firstLineChars="200"/>
    </w:pPr>
  </w:style>
  <w:style w:type="paragraph" w:customStyle="1" w:styleId="28">
    <w:name w:val="样式 样式 表 + 首行缩进:  2 字符 + 小四"/>
    <w:basedOn w:val="1"/>
    <w:qFormat/>
    <w:uiPriority w:val="0"/>
    <w:pPr>
      <w:keepNext/>
      <w:keepLines/>
      <w:framePr w:hSpace="181" w:wrap="around" w:vAnchor="text" w:hAnchor="margin" w:xAlign="center" w:y="375"/>
      <w:tabs>
        <w:tab w:val="left" w:pos="429"/>
      </w:tabs>
      <w:adjustRightInd w:val="0"/>
      <w:spacing w:line="300" w:lineRule="exact"/>
      <w:jc w:val="center"/>
      <w:textAlignment w:val="baseline"/>
    </w:pPr>
    <w:rPr>
      <w:rFonts w:ascii="宋体" w:hAnsi="宋体" w:cs="宋体"/>
      <w:color w:val="000000"/>
      <w:spacing w:val="10"/>
      <w:kern w:val="0"/>
      <w:szCs w:val="21"/>
    </w:rPr>
  </w:style>
  <w:style w:type="paragraph" w:customStyle="1" w:styleId="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0">
    <w:name w:val="CM56"/>
    <w:basedOn w:val="29"/>
    <w:next w:val="29"/>
    <w:qFormat/>
    <w:uiPriority w:val="99"/>
    <w:pPr>
      <w:spacing w:after="118"/>
    </w:pPr>
    <w:rPr>
      <w:rFonts w:ascii="黑体" w:eastAsia="黑体" w:cs="Times New Roman"/>
      <w:color w:val="auto"/>
    </w:rPr>
  </w:style>
  <w:style w:type="character" w:customStyle="1" w:styleId="31">
    <w:name w:val="正文文本缩进 2 字符"/>
    <w:basedOn w:val="16"/>
    <w:link w:val="8"/>
    <w:semiHidden/>
    <w:qFormat/>
    <w:uiPriority w:val="99"/>
    <w:rPr>
      <w:kern w:val="2"/>
      <w:sz w:val="21"/>
      <w:szCs w:val="24"/>
    </w:rPr>
  </w:style>
  <w:style w:type="character" w:customStyle="1" w:styleId="32">
    <w:name w:val="表格 字符"/>
    <w:link w:val="22"/>
    <w:qFormat/>
    <w:uiPriority w:val="0"/>
    <w:rPr>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0B81F6-B562-49BF-9F11-C11042776E7C}">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6179</Words>
  <Characters>7251</Characters>
  <Lines>69</Lines>
  <Paragraphs>19</Paragraphs>
  <TotalTime>2</TotalTime>
  <ScaleCrop>false</ScaleCrop>
  <LinksUpToDate>false</LinksUpToDate>
  <CharactersWithSpaces>7299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2022-06-02T01:28:00Z</dcterms:created>
  <dc:creator>段光玺</dc:creator>
  <cp:lastModifiedBy>zhaowei</cp:lastModifiedBy>
  <cp:lastPrinted>2022-09-14T09:59:00Z</cp:lastPrinted>
  <dcterms:modified xsi:type="dcterms:W3CDTF">2026-09-24T10:25:39Z</dcterms:modified>
  <dc:title>攸县106国道LNG加气站、L-CNG汽车加气站合建站设计方案及参数确认</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F7D9B54D768345AEB274FBA522F23534</vt:lpwstr>
  </property>
  <property fmtid="{D5CDD505-2E9C-101B-9397-08002B2CF9AE}" pid="4" name="KSOTemplateDocerSaveRecord">
    <vt:lpwstr>eyJoZGlkIjoiNmY2MTAzZGQ5NWNlMGM1ODUwZThiYmNhOTg3ZjgxMzkiLCJ1c2VySWQiOiIzNjM3MzE0NzAifQ==</vt:lpwstr>
  </property>
</Properties>
</file>